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070509">
      <w:pPr>
        <w:pStyle w:val="8"/>
        <w:keepNext w:val="0"/>
        <w:pageBreakBefore w:val="0"/>
        <w:widowControl w:val="0"/>
        <w:snapToGrid w:val="0"/>
        <w:spacing w:before="0" w:after="0" w:line="560" w:lineRule="exact"/>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潮菜“湾区标准”《潮式小食  潮州春饼》</w:t>
      </w:r>
    </w:p>
    <w:p w14:paraId="706E7ED3">
      <w:pPr>
        <w:pStyle w:val="8"/>
        <w:keepNext w:val="0"/>
        <w:pageBreakBefore w:val="0"/>
        <w:widowControl w:val="0"/>
        <w:snapToGrid w:val="0"/>
        <w:spacing w:before="0" w:after="0" w:line="560" w:lineRule="exact"/>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编制说明</w:t>
      </w:r>
    </w:p>
    <w:p w14:paraId="669C4DB9">
      <w:pPr>
        <w:pStyle w:val="9"/>
        <w:spacing w:line="560" w:lineRule="exact"/>
      </w:pPr>
    </w:p>
    <w:p w14:paraId="1EC98E1E">
      <w:pPr>
        <w:numPr>
          <w:ilvl w:val="0"/>
          <w:numId w:val="3"/>
        </w:num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工作简况</w:t>
      </w:r>
    </w:p>
    <w:p w14:paraId="69DE8CDE">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（一）第三批潮菜“湾区标准”工作的启动</w:t>
      </w:r>
    </w:p>
    <w:p w14:paraId="5524762E">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为深入贯彻落实《粤港澳大湾区发展规划纲要》《广东省“粤菜师傅”工程实施方案》有关工作部署，充分发挥标准在引导产业发展方面的重要作用，2021-2022年，在省市场监督管理局的指导下，广东省汕头市质量技术监督标准与编码所牵头粤港澳</w:t>
      </w:r>
      <w:r>
        <w:rPr>
          <w:rFonts w:hint="eastAsia" w:ascii="仿宋" w:hAnsi="仿宋" w:eastAsia="仿宋" w:cs="仿宋"/>
          <w:sz w:val="30"/>
          <w:szCs w:val="30"/>
          <w:lang w:val="en-US" w:eastAsia="zh-CN"/>
        </w:rPr>
        <w:t>三</w:t>
      </w:r>
      <w:r>
        <w:rPr>
          <w:rFonts w:hint="eastAsia" w:ascii="仿宋" w:hAnsi="仿宋" w:eastAsia="仿宋" w:cs="仿宋"/>
          <w:sz w:val="30"/>
          <w:szCs w:val="30"/>
        </w:rPr>
        <w:t>地的27家餐饮社团、院校和研究机构43名专家共同推进潮菜湾区标准制定，先后完成了卤鹅、八宝素菜等两批13项潮菜经典菜品的标准研制。标准通过专家评审，由省烹饪协会以团体标准发布。标准被粤港澳大湾区标准研究中心确认为“湾区标准”，4月24日由粤港澳三地相关主管部门联合公布。</w:t>
      </w:r>
    </w:p>
    <w:p w14:paraId="3EABC0CC">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为持续推动潮菜“湾区标准”的研究、制定和实施工作，今年3月，汕头标码所召开2023年潮菜“湾区标准”座谈会，邀请粤东四市（汕头、潮州、揭阳、汕尾）业内专家共同商榷第三批潮菜“湾区标准”制定工作的相关事宜。4月，汕头标码所通过线上问卷调查的形式，广泛征集业界意见，初步选取了第三批潮菜“湾区标准”的菜品候选名单。</w:t>
      </w:r>
    </w:p>
    <w:p w14:paraId="599BC47B">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2023年5月30日，</w:t>
      </w:r>
      <w:r>
        <w:rPr>
          <w:rFonts w:hint="eastAsia" w:ascii="仿宋" w:hAnsi="仿宋" w:eastAsia="仿宋" w:cs="仿宋"/>
          <w:sz w:val="30"/>
          <w:szCs w:val="30"/>
          <w:lang w:val="en-US" w:eastAsia="zh-CN"/>
        </w:rPr>
        <w:t>汕头</w:t>
      </w:r>
      <w:r>
        <w:rPr>
          <w:rFonts w:hint="eastAsia" w:ascii="仿宋" w:hAnsi="仿宋" w:eastAsia="仿宋" w:cs="仿宋"/>
          <w:sz w:val="30"/>
          <w:szCs w:val="30"/>
        </w:rPr>
        <w:t>标码所在潮州举行了第三批潮菜“湾区标准”制定启动大会。启动会上，成立了以汕头标码所牵头，粤港澳三地30家院校、餐饮机构、潮菜社团和标准化机构50名专家共同参与的潮菜“湾区标准”制定工作组。经过充分的讨论，第三批潮菜“湾区标准”确定选取对潮菜“湾区标准”制定有重要支撑和指导作用的《潮菜 标准体系》《潮菜 名词术语》《潮菜 烹饪技法》《潮菜 餐饮习俗》4个基础性标准以及选取业界公认潮汕地区具有代表性和传承性的</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潮式小食  潮州春饼</w:t>
      </w:r>
      <w:r>
        <w:rPr>
          <w:rFonts w:hint="eastAsia" w:ascii="仿宋" w:hAnsi="仿宋" w:eastAsia="仿宋" w:cs="仿宋"/>
          <w:sz w:val="30"/>
          <w:szCs w:val="30"/>
          <w:lang w:eastAsia="zh-CN"/>
        </w:rPr>
        <w:t>》</w:t>
      </w:r>
      <w:r>
        <w:rPr>
          <w:rFonts w:hint="eastAsia" w:ascii="仿宋" w:hAnsi="仿宋" w:eastAsia="仿宋" w:cs="仿宋"/>
          <w:sz w:val="30"/>
          <w:szCs w:val="30"/>
        </w:rPr>
        <w:t>等9个菜品标准。</w:t>
      </w:r>
    </w:p>
    <w:p w14:paraId="2AEB9C99">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（二）标准编制任务来源</w:t>
      </w:r>
    </w:p>
    <w:p w14:paraId="555D56D2">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根据汕头标码所发布的《第三批潮菜“湾区标准”制定工作组分工表》，包括以下任务：</w:t>
      </w:r>
    </w:p>
    <w:p w14:paraId="0418F66F">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1、总体目标：2023年8月15日完成13项潮菜团体标准发布。</w:t>
      </w:r>
    </w:p>
    <w:p w14:paraId="0A7B9946">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2、具体任务：制定4项潮菜基础标准以及9项潮菜菜品标准。 </w:t>
      </w:r>
    </w:p>
    <w:p w14:paraId="31DAC7B0">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3、分工安排：省局标准化处负责统筹协调；粤港澳大湾区标准化研究中心负责技术指导；汕头标码所负责协同其他参与单位进行标准制定等工作。</w:t>
      </w:r>
    </w:p>
    <w:p w14:paraId="6DDA2D60">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（三）标准起草单位及分工</w:t>
      </w:r>
    </w:p>
    <w:p w14:paraId="77DCC171">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1.标准起草单位包括：汕头市标准化协会、广东省汕头市质量技术监督标准与编码所、广东烹饪协会、广东省餐饮服务行业协会、广东省粤菜产业发展促进会、广东烹饪协会潮菜专业委员会、香港群生饮食技术人员协会、香港餐务管理协会、澳门烹饪协会、汕头市餐饮业协会、汕头职业技术学院、广东省粤东技师学院、汕头技师学院、汕头市检验检测中心、潮州市烹调协会、潮州市餐饮协会、潮州市潮州菜文化研究会、韩山师范学院、揭阳技师学院、汕尾市餐饮行业协会。  </w:t>
      </w:r>
    </w:p>
    <w:p w14:paraId="09C49A0F">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标准主要起草人：陈俊生、肖佳哲、池鲁强、赵利平、蔡煜东、洪东旭、饶毅萍、陈文修、纪瑞喜、陈少俊、詹明亮、黄武营、陈映武、谢福彬、陈育楷、张加扬、刘卫红、杨位醒、蔡振荣、方树光、吴依憧、蔡比琼、黄凤娇、陈文标。</w:t>
      </w:r>
    </w:p>
    <w:p w14:paraId="54E1649C">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3.标准起草工作组分工如下：</w:t>
      </w:r>
    </w:p>
    <w:p w14:paraId="0968F165">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工作组共有来自30个单位50位专家，分成17个项目组，分别是：顾问组、总体组、历史人文专项组、安全营养专项组、《潮菜 标准体系》标准项目组、《潮菜 餐饮习俗》标准项目组、《潮菜 名词术语》标准项目组、《潮菜 烹饪技法》标准项目组、《潮菜 鱼饭》标准项目组、《潮式小食 墨斗卵粿》标准项目组、《潮菜 白果芋泥》标准项目组、《潮式小食 鼠壳粿》标准项目组、《潮式小食 潮州春饼》标准项目组、《潮菜 生菜龙虾》标准项目组、《潮菜 隆江猪脚》标准项目组、《潮式小食 阿嫲姜醋蛋》标准项目组、《潮菜 鱼丸（汤）》标准项目组。</w:t>
      </w:r>
    </w:p>
    <w:p w14:paraId="3303D29E">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项目召集人负责召集项目专家开展本项目研究工作，并负责执笔起草相关方案、标准；项目组专家负责参与项目研究和方案、标准审议；第5-17标准制定项目组，每2-3个标准项目组组成一个群，共同研究制定标准。</w:t>
      </w:r>
    </w:p>
    <w:p w14:paraId="2D67A1EE">
      <w:p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（四）起草过程</w:t>
      </w:r>
    </w:p>
    <w:p w14:paraId="17DE73E6">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1.准备阶段（2023年5月）</w:t>
      </w:r>
    </w:p>
    <w:p w14:paraId="59D39473">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 搜集整理相关潮菜标准和文献资料以作参考。</w:t>
      </w:r>
    </w:p>
    <w:p w14:paraId="006FA2F6">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2.标准制定阶段（2023年5～6月）</w:t>
      </w:r>
    </w:p>
    <w:p w14:paraId="1266C5D8">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 5月31日，《潮式小食 潮州春饼》标准项目组根据讨论明确任务分工，由组长确定任务分工表下达标准指定任务。</w:t>
      </w:r>
    </w:p>
    <w:p w14:paraId="0952B944">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 6月19日，根据任务分工安排，《潮式小食 潮州春饼》标准项目组根据前期准备资料的整理与完善，完成标准草稿，交由组长修改确认后形成正式草案稿。</w:t>
      </w:r>
    </w:p>
    <w:p w14:paraId="0FDED266">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3.征求意见阶段（2023年7月）</w:t>
      </w:r>
    </w:p>
    <w:p w14:paraId="69C6EF91">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通过组内讨论与跨组征求意见，《潮式小食 潮州春饼》标准项目组于6月30日完成标准征求意见稿的制定，7月1日，标准制定工作组按《团体标准管理规定》要求，将《关于&lt;潮菜 标准体系&gt;等13项团体标准征求意见的函》及标准征求意见稿发布到汕头市标准信息服务网公开征求意见，为期30天。</w:t>
      </w:r>
    </w:p>
    <w:p w14:paraId="29AB08FD">
      <w:pPr>
        <w:snapToGrid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7月12日，召开第三批潮菜“湾区标准”工作组初审会，会上潮菜专家们主要提出一点修改建议：秉持统一原则，潮州春饼咸、甜两种口味成品尺寸建议统一。</w:t>
      </w:r>
    </w:p>
    <w:p w14:paraId="796F8E9E">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4.标准审查发布阶段（2023年8月）</w:t>
      </w:r>
    </w:p>
    <w:p w14:paraId="10002BA5">
      <w:pPr>
        <w:snapToGrid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8月15日，由广东烹饪协会指导，潮菜“湾区标准”工作组和汕头市标码所联合组织第三批潮菜标准技术审查会，邀请粤港澳三地的7名餐饮、文化、营养和标准化方面的权威专家组成评审组对标准进行技术审查，审查专家组一致确认标准符合相关要求，予以审查通过。标准项目组根据审查会上专家意见对送审稿进行处理，形成技术规范文件和编制说明的报批稿。</w:t>
      </w:r>
    </w:p>
    <w:p w14:paraId="1FA0DEC1">
      <w:pPr>
        <w:snapToGrid w:val="0"/>
        <w:spacing w:line="56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8月28日，标准首次发布。</w:t>
      </w:r>
    </w:p>
    <w:p w14:paraId="5A3863D2">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00" w:firstLineChars="200"/>
        <w:textAlignment w:val="auto"/>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11月28日，标准修订发布。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
        <w:gridCol w:w="1600"/>
        <w:gridCol w:w="5946"/>
      </w:tblGrid>
      <w:tr w14:paraId="67517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tcPr>
          <w:p w14:paraId="1C179B1C">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序号</w:t>
            </w:r>
          </w:p>
        </w:tc>
        <w:tc>
          <w:tcPr>
            <w:tcW w:w="1600" w:type="dxa"/>
          </w:tcPr>
          <w:p w14:paraId="664D9EDA">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条文号</w:t>
            </w:r>
          </w:p>
        </w:tc>
        <w:tc>
          <w:tcPr>
            <w:tcW w:w="5946" w:type="dxa"/>
          </w:tcPr>
          <w:p w14:paraId="63D80EF6">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修改</w:t>
            </w:r>
            <w:r>
              <w:rPr>
                <w:rFonts w:hint="eastAsia" w:ascii="宋体" w:hAnsi="宋体" w:cs="宋体"/>
                <w:sz w:val="21"/>
                <w:szCs w:val="21"/>
                <w:vertAlign w:val="baseline"/>
                <w:lang w:val="en-US" w:eastAsia="zh-CN"/>
              </w:rPr>
              <w:t>说明</w:t>
            </w:r>
          </w:p>
        </w:tc>
      </w:tr>
      <w:tr w14:paraId="7115A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 w:type="dxa"/>
          </w:tcPr>
          <w:p w14:paraId="2A3A6F3A">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1600" w:type="dxa"/>
          </w:tcPr>
          <w:p w14:paraId="64F08FE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4.3</w:t>
            </w:r>
          </w:p>
        </w:tc>
        <w:tc>
          <w:tcPr>
            <w:tcW w:w="5946" w:type="dxa"/>
          </w:tcPr>
          <w:p w14:paraId="1C8B32DE">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新增要求,“卫生要求应符合GB 31654、《食物业规例》(香港特别行政区第132章)、《食品安全法》(澳门特别行政区第 5/2013号行政法规)及《酒店业场所业务法》(澳门特别行政区第 8/2021号行政法规)的规定。”</w:t>
            </w:r>
          </w:p>
        </w:tc>
      </w:tr>
    </w:tbl>
    <w:p w14:paraId="296D1411">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5.</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湾区</w:t>
      </w:r>
      <w:r>
        <w:rPr>
          <w:rFonts w:hint="eastAsia" w:ascii="仿宋" w:hAnsi="仿宋" w:eastAsia="仿宋" w:cs="仿宋"/>
          <w:sz w:val="30"/>
          <w:szCs w:val="30"/>
        </w:rPr>
        <w:t>标准</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申报</w:t>
      </w:r>
      <w:r>
        <w:rPr>
          <w:rFonts w:hint="eastAsia" w:ascii="仿宋" w:hAnsi="仿宋" w:eastAsia="仿宋" w:cs="仿宋"/>
          <w:sz w:val="30"/>
          <w:szCs w:val="30"/>
        </w:rPr>
        <w:t>阶段（202</w:t>
      </w:r>
      <w:r>
        <w:rPr>
          <w:rFonts w:hint="eastAsia" w:ascii="仿宋" w:hAnsi="仿宋" w:eastAsia="仿宋" w:cs="仿宋"/>
          <w:sz w:val="30"/>
          <w:szCs w:val="30"/>
          <w:lang w:val="en-US" w:eastAsia="zh-CN"/>
        </w:rPr>
        <w:t>4</w:t>
      </w:r>
      <w:r>
        <w:rPr>
          <w:rFonts w:hint="eastAsia" w:ascii="仿宋" w:hAnsi="仿宋" w:eastAsia="仿宋" w:cs="仿宋"/>
          <w:sz w:val="30"/>
          <w:szCs w:val="30"/>
        </w:rPr>
        <w:t>年）</w:t>
      </w:r>
    </w:p>
    <w:p w14:paraId="7E403E34">
      <w:pPr>
        <w:numPr>
          <w:ilvl w:val="-1"/>
          <w:numId w:val="0"/>
        </w:numPr>
        <w:snapToGrid w:val="0"/>
        <w:spacing w:line="56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2024年6月，为使文件符合“湾区标准”编制要求，工作组对文本做出修改。</w:t>
      </w: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874"/>
        <w:gridCol w:w="6773"/>
      </w:tblGrid>
      <w:tr w14:paraId="25700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4979C4D7">
            <w:pPr>
              <w:spacing w:line="360" w:lineRule="auto"/>
              <w:jc w:val="center"/>
              <w:rPr>
                <w:rFonts w:hint="eastAsia" w:ascii="宋体" w:hAnsi="宋体"/>
                <w:sz w:val="24"/>
                <w:szCs w:val="32"/>
              </w:rPr>
            </w:pPr>
            <w:r>
              <w:rPr>
                <w:rFonts w:hint="eastAsia" w:ascii="宋体" w:hAnsi="宋体"/>
                <w:sz w:val="24"/>
                <w:szCs w:val="32"/>
                <w:lang w:bidi="ar"/>
              </w:rPr>
              <w:t>序号</w:t>
            </w:r>
          </w:p>
        </w:tc>
        <w:tc>
          <w:tcPr>
            <w:tcW w:w="1874" w:type="dxa"/>
            <w:tcBorders>
              <w:top w:val="single" w:color="auto" w:sz="4" w:space="0"/>
              <w:left w:val="single" w:color="auto" w:sz="4" w:space="0"/>
              <w:bottom w:val="single" w:color="auto" w:sz="4" w:space="0"/>
              <w:right w:val="single" w:color="auto" w:sz="4" w:space="0"/>
            </w:tcBorders>
            <w:noWrap w:val="0"/>
            <w:vAlign w:val="center"/>
          </w:tcPr>
          <w:p w14:paraId="40F2B464">
            <w:pPr>
              <w:spacing w:line="360" w:lineRule="auto"/>
              <w:jc w:val="center"/>
              <w:rPr>
                <w:rFonts w:hint="eastAsia" w:ascii="宋体" w:hAnsi="宋体" w:eastAsia="宋体"/>
                <w:sz w:val="24"/>
                <w:szCs w:val="32"/>
                <w:lang w:eastAsia="zh-CN"/>
              </w:rPr>
            </w:pPr>
            <w:r>
              <w:rPr>
                <w:rFonts w:hint="eastAsia" w:ascii="宋体" w:hAnsi="宋体"/>
                <w:sz w:val="24"/>
                <w:szCs w:val="32"/>
                <w:lang w:val="en-US" w:eastAsia="zh-CN" w:bidi="ar"/>
              </w:rPr>
              <w:t>条文</w:t>
            </w:r>
          </w:p>
        </w:tc>
        <w:tc>
          <w:tcPr>
            <w:tcW w:w="6773" w:type="dxa"/>
            <w:tcBorders>
              <w:top w:val="single" w:color="auto" w:sz="4" w:space="0"/>
              <w:left w:val="single" w:color="auto" w:sz="4" w:space="0"/>
              <w:bottom w:val="single" w:color="auto" w:sz="4" w:space="0"/>
              <w:right w:val="single" w:color="auto" w:sz="4" w:space="0"/>
            </w:tcBorders>
            <w:noWrap w:val="0"/>
            <w:vAlign w:val="center"/>
          </w:tcPr>
          <w:p w14:paraId="08282C5A">
            <w:pPr>
              <w:spacing w:line="360" w:lineRule="auto"/>
              <w:jc w:val="center"/>
              <w:rPr>
                <w:rFonts w:hint="eastAsia" w:ascii="宋体" w:hAnsi="宋体"/>
                <w:sz w:val="24"/>
                <w:szCs w:val="32"/>
              </w:rPr>
            </w:pPr>
            <w:r>
              <w:rPr>
                <w:rFonts w:hint="eastAsia" w:ascii="宋体" w:hAnsi="宋体"/>
                <w:sz w:val="24"/>
                <w:szCs w:val="32"/>
                <w:lang w:bidi="ar"/>
              </w:rPr>
              <w:t>修改说明</w:t>
            </w:r>
          </w:p>
        </w:tc>
      </w:tr>
      <w:tr w14:paraId="40BBA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1B5269FC">
            <w:pPr>
              <w:spacing w:line="360" w:lineRule="auto"/>
              <w:jc w:val="center"/>
              <w:rPr>
                <w:rFonts w:hint="eastAsia" w:ascii="宋体" w:hAnsi="宋体"/>
                <w:sz w:val="24"/>
                <w:szCs w:val="32"/>
              </w:rPr>
            </w:pPr>
            <w:r>
              <w:rPr>
                <w:rFonts w:hint="eastAsia" w:ascii="宋体" w:hAnsi="宋体"/>
                <w:sz w:val="24"/>
                <w:szCs w:val="32"/>
                <w:lang w:bidi="ar"/>
              </w:rPr>
              <w:t>1</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3695B19">
            <w:pPr>
              <w:spacing w:after="156" w:afterLines="50"/>
              <w:jc w:val="left"/>
              <w:rPr>
                <w:rFonts w:hint="eastAsia" w:ascii="宋体" w:hAnsi="宋体" w:eastAsia="宋体" w:cs="Times New Roman"/>
                <w:kern w:val="2"/>
                <w:sz w:val="24"/>
                <w:szCs w:val="32"/>
                <w:lang w:val="en-US" w:eastAsia="zh-CN" w:bidi="ar"/>
              </w:rPr>
            </w:pPr>
            <w:r>
              <w:rPr>
                <w:rFonts w:hint="eastAsia" w:ascii="宋体" w:hAnsi="宋体"/>
                <w:sz w:val="24"/>
                <w:szCs w:val="32"/>
                <w:lang w:bidi="ar"/>
              </w:rPr>
              <w:t>4.3卫生</w:t>
            </w:r>
            <w:r>
              <w:rPr>
                <w:rFonts w:hint="eastAsia" w:ascii="宋体" w:hAnsi="宋体"/>
                <w:sz w:val="24"/>
                <w:szCs w:val="32"/>
                <w:lang w:val="en-US" w:eastAsia="zh-CN" w:bidi="ar"/>
              </w:rPr>
              <w:t>要求</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472E80F">
            <w:pPr>
              <w:spacing w:line="360" w:lineRule="auto"/>
              <w:jc w:val="both"/>
              <w:rPr>
                <w:rFonts w:hint="default" w:ascii="宋体" w:hAnsi="宋体" w:eastAsia="宋体" w:cs="Times New Roman"/>
                <w:kern w:val="2"/>
                <w:sz w:val="24"/>
                <w:szCs w:val="32"/>
                <w:lang w:val="en-US" w:eastAsia="zh-CN" w:bidi="ar-SA"/>
              </w:rPr>
            </w:pPr>
            <w:r>
              <w:rPr>
                <w:rFonts w:hint="eastAsia" w:ascii="宋体" w:hAnsi="宋体" w:eastAsia="宋体" w:cs="Times New Roman"/>
                <w:sz w:val="24"/>
                <w:szCs w:val="32"/>
                <w:u w:color="000000"/>
              </w:rPr>
              <w:t>明确操作环境</w:t>
            </w:r>
            <w:r>
              <w:rPr>
                <w:rFonts w:hint="eastAsia" w:ascii="宋体" w:hAnsi="宋体" w:cs="Times New Roman"/>
                <w:sz w:val="24"/>
                <w:szCs w:val="32"/>
                <w:u w:color="000000"/>
                <w:lang w:eastAsia="zh-CN"/>
              </w:rPr>
              <w:t>，</w:t>
            </w:r>
            <w:r>
              <w:rPr>
                <w:rFonts w:hint="eastAsia" w:asciiTheme="minorEastAsia" w:hAnsiTheme="minorEastAsia" w:eastAsiaTheme="minorEastAsia" w:cstheme="minorEastAsia"/>
                <w:sz w:val="24"/>
                <w:szCs w:val="24"/>
                <w:u w:color="000000"/>
                <w:lang w:val="en-US" w:eastAsia="zh-CN"/>
              </w:rPr>
              <w:t>增加GB 10136</w:t>
            </w:r>
          </w:p>
        </w:tc>
      </w:tr>
      <w:tr w14:paraId="085A4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0EFC771F">
            <w:pPr>
              <w:spacing w:line="360" w:lineRule="auto"/>
              <w:jc w:val="center"/>
              <w:rPr>
                <w:rFonts w:hint="eastAsia" w:ascii="宋体" w:hAnsi="宋体"/>
                <w:sz w:val="24"/>
                <w:szCs w:val="32"/>
              </w:rPr>
            </w:pPr>
            <w:r>
              <w:rPr>
                <w:rFonts w:hint="eastAsia" w:ascii="宋体" w:hAnsi="宋体"/>
                <w:sz w:val="24"/>
                <w:szCs w:val="32"/>
                <w:lang w:bidi="ar"/>
              </w:rPr>
              <w:t>2</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3912C55">
            <w:pPr>
              <w:rPr>
                <w:rFonts w:hint="eastAsia" w:ascii="宋体" w:hAnsi="宋体" w:eastAsia="宋体" w:cs="Times New Roman"/>
                <w:kern w:val="2"/>
                <w:sz w:val="24"/>
                <w:szCs w:val="32"/>
                <w:highlight w:val="none"/>
                <w:lang w:val="en-US" w:eastAsia="zh-CN" w:bidi="ar"/>
              </w:rPr>
            </w:pPr>
            <w:r>
              <w:rPr>
                <w:rFonts w:hint="eastAsia" w:ascii="宋体" w:hAnsi="宋体"/>
                <w:sz w:val="24"/>
                <w:szCs w:val="32"/>
                <w:highlight w:val="none"/>
                <w:lang w:val="en-US" w:eastAsia="zh-CN" w:bidi="ar"/>
              </w:rPr>
              <w:t>引言</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96E7838">
            <w:pPr>
              <w:spacing w:line="360" w:lineRule="auto"/>
              <w:jc w:val="both"/>
              <w:rPr>
                <w:rFonts w:hint="eastAsia" w:ascii="宋体" w:hAnsi="宋体" w:eastAsia="宋体" w:cs="Times New Roman"/>
                <w:kern w:val="2"/>
                <w:sz w:val="24"/>
                <w:szCs w:val="32"/>
                <w:lang w:val="en-US" w:eastAsia="zh-CN" w:bidi="ar-SA"/>
              </w:rPr>
            </w:pPr>
            <w:r>
              <w:rPr>
                <w:rFonts w:hint="eastAsia" w:ascii="宋体" w:hAnsi="宋体" w:eastAsia="宋体" w:cs="Times New Roman"/>
                <w:sz w:val="24"/>
                <w:szCs w:val="32"/>
                <w:u w:color="000000"/>
              </w:rPr>
              <w:t>补充引言中《广东新语》的作者表述</w:t>
            </w:r>
            <w:r>
              <w:rPr>
                <w:rFonts w:hint="eastAsia" w:ascii="宋体" w:hAnsi="宋体" w:eastAsia="宋体" w:cs="Times New Roman"/>
                <w:sz w:val="24"/>
                <w:szCs w:val="32"/>
                <w:u w:color="000000"/>
                <w:lang w:eastAsia="zh-CN"/>
              </w:rPr>
              <w:t>，</w:t>
            </w:r>
            <w:r>
              <w:rPr>
                <w:rFonts w:hint="eastAsia" w:ascii="宋体" w:hAnsi="宋体" w:eastAsia="宋体" w:cs="Times New Roman"/>
                <w:sz w:val="24"/>
                <w:szCs w:val="32"/>
                <w:u w:color="000000"/>
                <w:lang w:val="en-US" w:eastAsia="zh-CN"/>
              </w:rPr>
              <w:t>参考文献对照修改</w:t>
            </w:r>
            <w:r>
              <w:rPr>
                <w:rFonts w:hint="eastAsia" w:ascii="宋体" w:hAnsi="宋体" w:eastAsia="宋体" w:cs="Times New Roman"/>
                <w:sz w:val="24"/>
                <w:szCs w:val="32"/>
                <w:u w:color="000000"/>
                <w:lang w:eastAsia="zh-CN"/>
              </w:rPr>
              <w:t>。</w:t>
            </w:r>
          </w:p>
        </w:tc>
      </w:tr>
      <w:tr w14:paraId="109D2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713602AB">
            <w:pPr>
              <w:spacing w:line="360" w:lineRule="auto"/>
              <w:jc w:val="center"/>
              <w:rPr>
                <w:rFonts w:hint="eastAsia" w:ascii="宋体" w:hAnsi="宋体"/>
                <w:sz w:val="24"/>
                <w:szCs w:val="32"/>
                <w:highlight w:val="none"/>
              </w:rPr>
            </w:pPr>
            <w:r>
              <w:rPr>
                <w:rFonts w:hint="eastAsia" w:ascii="宋体" w:hAnsi="宋体"/>
                <w:sz w:val="24"/>
                <w:szCs w:val="32"/>
                <w:highlight w:val="none"/>
                <w:lang w:bidi="ar"/>
              </w:rPr>
              <w:t>3</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43853D79">
            <w:pPr>
              <w:rPr>
                <w:rFonts w:hint="eastAsia" w:ascii="宋体" w:hAnsi="宋体" w:eastAsia="宋体" w:cs="Times New Roman"/>
                <w:kern w:val="2"/>
                <w:sz w:val="24"/>
                <w:szCs w:val="32"/>
                <w:lang w:val="en-US" w:eastAsia="zh-CN" w:bidi="ar"/>
              </w:rPr>
            </w:pPr>
            <w:r>
              <w:rPr>
                <w:rFonts w:hint="eastAsia" w:ascii="宋体" w:hAnsi="宋体"/>
                <w:sz w:val="24"/>
                <w:szCs w:val="32"/>
                <w:lang w:bidi="ar"/>
              </w:rPr>
              <w:t>表2</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7CB80C8">
            <w:pPr>
              <w:spacing w:line="360" w:lineRule="auto"/>
              <w:jc w:val="both"/>
              <w:rPr>
                <w:rFonts w:hint="eastAsia" w:ascii="宋体" w:hAnsi="宋体" w:eastAsia="宋体" w:cs="Times New Roman"/>
                <w:kern w:val="2"/>
                <w:sz w:val="24"/>
                <w:szCs w:val="32"/>
                <w:lang w:val="en-US" w:eastAsia="zh-CN" w:bidi="ar-SA"/>
              </w:rPr>
            </w:pPr>
            <w:r>
              <w:rPr>
                <w:rFonts w:hint="eastAsia" w:ascii="宋体" w:hAnsi="宋体" w:eastAsia="宋体" w:cs="Times New Roman"/>
                <w:sz w:val="24"/>
                <w:szCs w:val="32"/>
                <w:highlight w:val="none"/>
                <w:u w:color="000000"/>
              </w:rPr>
              <w:t>明确“食用油”类别</w:t>
            </w:r>
          </w:p>
        </w:tc>
      </w:tr>
      <w:tr w14:paraId="3017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5D656477">
            <w:pPr>
              <w:spacing w:line="360" w:lineRule="auto"/>
              <w:jc w:val="center"/>
              <w:rPr>
                <w:rFonts w:hint="eastAsia" w:ascii="宋体" w:hAnsi="宋体"/>
                <w:sz w:val="24"/>
                <w:szCs w:val="32"/>
                <w:highlight w:val="none"/>
                <w:lang w:bidi="ar"/>
              </w:rPr>
            </w:pPr>
            <w:r>
              <w:rPr>
                <w:rFonts w:hint="eastAsia" w:ascii="宋体" w:hAnsi="宋体"/>
                <w:sz w:val="24"/>
                <w:szCs w:val="32"/>
                <w:highlight w:val="none"/>
                <w:lang w:bidi="ar"/>
              </w:rPr>
              <w:t>4</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1C82232">
            <w:pPr>
              <w:spacing w:line="360" w:lineRule="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vertAlign w:val="baseline"/>
                <w:lang w:val="en-US" w:eastAsia="zh-CN"/>
              </w:rPr>
              <w:t>5.1</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BC7B9E3">
            <w:pPr>
              <w:spacing w:line="360" w:lineRule="auto"/>
              <w:jc w:val="both"/>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u w:color="000000"/>
              </w:rPr>
              <w:t>原料、辅料、调料的顺序按用量多少排序</w:t>
            </w:r>
          </w:p>
        </w:tc>
      </w:tr>
      <w:tr w14:paraId="5482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2D088306">
            <w:pPr>
              <w:spacing w:line="360" w:lineRule="auto"/>
              <w:jc w:val="center"/>
              <w:rPr>
                <w:rFonts w:hint="eastAsia" w:ascii="宋体" w:hAnsi="宋体"/>
                <w:sz w:val="24"/>
                <w:szCs w:val="32"/>
                <w:lang w:bidi="ar"/>
              </w:rPr>
            </w:pPr>
            <w:r>
              <w:rPr>
                <w:rFonts w:hint="eastAsia" w:ascii="宋体" w:hAnsi="宋体"/>
                <w:sz w:val="24"/>
                <w:szCs w:val="32"/>
                <w:lang w:bidi="ar"/>
              </w:rPr>
              <w:t>5</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395D9EDB">
            <w:pPr>
              <w:spacing w:line="360" w:lineRule="auto"/>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sz w:val="24"/>
                <w:szCs w:val="24"/>
                <w:u w:color="000000"/>
              </w:rPr>
              <w:t>4.4</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79D5EAA">
            <w:pPr>
              <w:spacing w:line="360" w:lineRule="auto"/>
              <w:jc w:val="both"/>
              <w:rPr>
                <w:rFonts w:hint="default" w:asciiTheme="minorEastAsia" w:hAnsiTheme="minorEastAsia" w:eastAsiaTheme="minorEastAsia" w:cstheme="minorEastAsia"/>
                <w:kern w:val="2"/>
                <w:sz w:val="24"/>
                <w:szCs w:val="24"/>
                <w:u w:color="000000"/>
                <w:lang w:val="en-US" w:eastAsia="zh-CN" w:bidi="ar-SA"/>
              </w:rPr>
            </w:pPr>
            <w:r>
              <w:rPr>
                <w:rFonts w:hint="eastAsia" w:asciiTheme="minorEastAsia" w:hAnsiTheme="minorEastAsia" w:eastAsiaTheme="minorEastAsia" w:cstheme="minorEastAsia"/>
                <w:sz w:val="24"/>
                <w:szCs w:val="24"/>
                <w:u w:color="000000"/>
              </w:rPr>
              <w:t>4.4其它中的内容应调整至相关章节内容中。</w:t>
            </w:r>
          </w:p>
        </w:tc>
      </w:tr>
      <w:tr w14:paraId="7DA46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342F06C5">
            <w:pPr>
              <w:spacing w:line="360" w:lineRule="auto"/>
              <w:jc w:val="center"/>
              <w:rPr>
                <w:rFonts w:hint="eastAsia" w:ascii="宋体" w:hAnsi="宋体"/>
                <w:sz w:val="24"/>
                <w:szCs w:val="32"/>
                <w:lang w:bidi="ar"/>
              </w:rPr>
            </w:pPr>
            <w:r>
              <w:rPr>
                <w:rFonts w:hint="eastAsia" w:ascii="宋体" w:hAnsi="宋体"/>
                <w:sz w:val="24"/>
                <w:szCs w:val="32"/>
                <w:lang w:bidi="ar"/>
              </w:rPr>
              <w:t>6</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AAA30A4">
            <w:pPr>
              <w:spacing w:line="360" w:lineRule="auto"/>
              <w:rPr>
                <w:rFonts w:hint="eastAsia" w:asciiTheme="minorEastAsia" w:hAnsiTheme="minorEastAsia" w:eastAsiaTheme="minorEastAsia" w:cstheme="minorEastAsia"/>
                <w:kern w:val="2"/>
                <w:sz w:val="24"/>
                <w:szCs w:val="24"/>
                <w:u w:color="000000"/>
                <w:lang w:val="en-US" w:eastAsia="zh-CN" w:bidi="ar-SA"/>
              </w:rPr>
            </w:pPr>
            <w:r>
              <w:rPr>
                <w:rFonts w:hint="eastAsia" w:asciiTheme="minorEastAsia" w:hAnsiTheme="minorEastAsia" w:eastAsiaTheme="minorEastAsia" w:cstheme="minorEastAsia"/>
                <w:sz w:val="24"/>
                <w:szCs w:val="24"/>
                <w:u w:color="000000"/>
                <w:lang w:val="en-US" w:eastAsia="zh-CN"/>
              </w:rPr>
              <w:t>附件B</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6FC58A86">
            <w:pPr>
              <w:spacing w:line="360" w:lineRule="auto"/>
              <w:jc w:val="both"/>
              <w:rPr>
                <w:rFonts w:hint="eastAsia" w:asciiTheme="minorEastAsia" w:hAnsiTheme="minorEastAsia" w:eastAsiaTheme="minorEastAsia" w:cstheme="minorEastAsia"/>
                <w:kern w:val="2"/>
                <w:sz w:val="24"/>
                <w:szCs w:val="24"/>
                <w:u w:color="000000"/>
                <w:lang w:val="en-US" w:eastAsia="zh-CN" w:bidi="ar-SA"/>
              </w:rPr>
            </w:pPr>
            <w:r>
              <w:rPr>
                <w:rFonts w:hint="eastAsia" w:asciiTheme="minorEastAsia" w:hAnsiTheme="minorEastAsia" w:eastAsiaTheme="minorEastAsia" w:cstheme="minorEastAsia"/>
                <w:sz w:val="24"/>
                <w:szCs w:val="24"/>
                <w:u w:color="000000"/>
              </w:rPr>
              <w:t>按GB 28050规范营养成分表的描述。</w:t>
            </w:r>
          </w:p>
        </w:tc>
      </w:tr>
      <w:tr w14:paraId="25CF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6AB8B5DD">
            <w:pPr>
              <w:spacing w:line="360" w:lineRule="auto"/>
              <w:jc w:val="center"/>
              <w:rPr>
                <w:rFonts w:hint="eastAsia" w:ascii="宋体" w:hAnsi="宋体"/>
                <w:sz w:val="24"/>
                <w:szCs w:val="32"/>
                <w:highlight w:val="none"/>
                <w:lang w:bidi="ar"/>
              </w:rPr>
            </w:pPr>
            <w:r>
              <w:rPr>
                <w:rFonts w:hint="eastAsia" w:ascii="宋体" w:hAnsi="宋体"/>
                <w:sz w:val="24"/>
                <w:szCs w:val="32"/>
                <w:highlight w:val="none"/>
                <w:lang w:bidi="ar"/>
              </w:rPr>
              <w:t>7</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19730543">
            <w:pPr>
              <w:spacing w:line="360" w:lineRule="auto"/>
              <w:rPr>
                <w:rFonts w:hint="eastAsia" w:eastAsia="宋体" w:asciiTheme="minorEastAsia" w:hAnsiTheme="minorEastAsia" w:cstheme="minorEastAsia"/>
                <w:kern w:val="2"/>
                <w:sz w:val="24"/>
                <w:szCs w:val="24"/>
                <w:u w:color="000000"/>
                <w:lang w:val="en-US" w:eastAsia="zh-CN" w:bidi="ar-SA"/>
              </w:rPr>
            </w:pPr>
            <w:r>
              <w:rPr>
                <w:rFonts w:hint="eastAsia" w:ascii="宋体" w:hAnsi="宋体" w:eastAsia="宋体" w:cs="Times New Roman"/>
                <w:sz w:val="24"/>
                <w:szCs w:val="32"/>
                <w:u w:color="000000"/>
              </w:rPr>
              <w:t>附录C</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F2DBC59">
            <w:pPr>
              <w:spacing w:line="360" w:lineRule="auto"/>
              <w:jc w:val="both"/>
              <w:rPr>
                <w:rFonts w:hint="default" w:asciiTheme="minorEastAsia" w:hAnsiTheme="minorEastAsia" w:eastAsiaTheme="minorEastAsia" w:cstheme="minorEastAsia"/>
                <w:kern w:val="2"/>
                <w:sz w:val="24"/>
                <w:szCs w:val="24"/>
                <w:u w:color="000000"/>
                <w:lang w:val="en-US" w:eastAsia="zh-CN" w:bidi="ar-SA"/>
              </w:rPr>
            </w:pPr>
            <w:r>
              <w:rPr>
                <w:rFonts w:hint="eastAsia" w:ascii="宋体" w:hAnsi="宋体" w:eastAsia="宋体" w:cs="Times New Roman"/>
                <w:sz w:val="24"/>
                <w:szCs w:val="32"/>
                <w:u w:color="000000"/>
              </w:rPr>
              <w:t>补充附录C工艺图的关键环节。</w:t>
            </w:r>
          </w:p>
        </w:tc>
      </w:tr>
    </w:tbl>
    <w:p w14:paraId="448B7753">
      <w:pPr>
        <w:numPr>
          <w:ilvl w:val="-1"/>
          <w:numId w:val="0"/>
        </w:numPr>
        <w:snapToGrid w:val="0"/>
        <w:spacing w:line="56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2024年8月，工作组向粤港澳大湾区标准化研究中心提交“湾区标准”申请。</w:t>
      </w:r>
    </w:p>
    <w:p w14:paraId="00FDCE84">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2024年</w:t>
      </w:r>
      <w:r>
        <w:rPr>
          <w:rFonts w:hint="eastAsia" w:ascii="仿宋" w:hAnsi="仿宋" w:eastAsia="仿宋" w:cs="仿宋"/>
          <w:sz w:val="32"/>
          <w:szCs w:val="32"/>
          <w:lang w:val="en-US" w:eastAsia="zh-CN"/>
        </w:rPr>
        <w:t>9月22日，粤港澳大湾区标准化研究中心组织专家组</w:t>
      </w:r>
      <w:r>
        <w:rPr>
          <w:rFonts w:ascii="仿宋" w:hAnsi="仿宋" w:eastAsia="仿宋" w:cs="仿宋"/>
          <w:sz w:val="32"/>
          <w:szCs w:val="32"/>
        </w:rPr>
        <w:t>对标准进行了全面审定</w:t>
      </w:r>
      <w:r>
        <w:rPr>
          <w:rFonts w:hint="eastAsia" w:ascii="仿宋" w:hAnsi="仿宋" w:eastAsia="仿宋" w:cs="仿宋"/>
          <w:sz w:val="32"/>
          <w:szCs w:val="32"/>
        </w:rPr>
        <w:t>，</w:t>
      </w:r>
      <w:r>
        <w:rPr>
          <w:rFonts w:hint="eastAsia" w:ascii="仿宋" w:hAnsi="仿宋" w:eastAsia="仿宋" w:cs="仿宋"/>
          <w:sz w:val="30"/>
          <w:szCs w:val="30"/>
        </w:rPr>
        <w:t>审查专家组一致确认标准符合相关要求，予以审查通过。标准项目组根据审查会上专家意见对</w:t>
      </w:r>
      <w:r>
        <w:rPr>
          <w:rFonts w:hint="eastAsia" w:ascii="仿宋" w:hAnsi="仿宋" w:eastAsia="仿宋" w:cs="仿宋"/>
          <w:sz w:val="30"/>
          <w:szCs w:val="30"/>
          <w:lang w:val="en-US" w:eastAsia="zh-CN"/>
        </w:rPr>
        <w:t>文件作</w:t>
      </w:r>
      <w:r>
        <w:rPr>
          <w:rFonts w:hint="eastAsia" w:ascii="仿宋" w:hAnsi="仿宋" w:eastAsia="仿宋" w:cs="仿宋"/>
          <w:sz w:val="30"/>
          <w:szCs w:val="30"/>
        </w:rPr>
        <w:t>进</w:t>
      </w:r>
      <w:r>
        <w:rPr>
          <w:rFonts w:hint="eastAsia" w:ascii="仿宋" w:hAnsi="仿宋" w:eastAsia="仿宋" w:cs="仿宋"/>
          <w:sz w:val="30"/>
          <w:szCs w:val="30"/>
          <w:lang w:val="en-US" w:eastAsia="zh-CN"/>
        </w:rPr>
        <w:t>一步修改</w:t>
      </w:r>
      <w:r>
        <w:rPr>
          <w:rFonts w:hint="eastAsia" w:ascii="仿宋" w:hAnsi="仿宋" w:eastAsia="仿宋" w:cs="仿宋"/>
          <w:sz w:val="30"/>
          <w:szCs w:val="30"/>
        </w:rPr>
        <w:t>处理。</w:t>
      </w:r>
    </w:p>
    <w:tbl>
      <w:tblPr>
        <w:tblStyle w:val="5"/>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874"/>
        <w:gridCol w:w="6773"/>
      </w:tblGrid>
      <w:tr w14:paraId="0502F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297FB455">
            <w:pPr>
              <w:spacing w:line="360" w:lineRule="auto"/>
              <w:jc w:val="center"/>
              <w:rPr>
                <w:rFonts w:hint="eastAsia" w:ascii="宋体" w:hAnsi="宋体"/>
                <w:sz w:val="24"/>
                <w:szCs w:val="32"/>
              </w:rPr>
            </w:pPr>
            <w:r>
              <w:rPr>
                <w:rFonts w:hint="eastAsia" w:ascii="宋体" w:hAnsi="宋体"/>
                <w:sz w:val="24"/>
                <w:szCs w:val="32"/>
                <w:lang w:bidi="ar"/>
              </w:rPr>
              <w:t>序号</w:t>
            </w:r>
          </w:p>
        </w:tc>
        <w:tc>
          <w:tcPr>
            <w:tcW w:w="1874" w:type="dxa"/>
            <w:tcBorders>
              <w:top w:val="single" w:color="auto" w:sz="4" w:space="0"/>
              <w:left w:val="single" w:color="auto" w:sz="4" w:space="0"/>
              <w:bottom w:val="single" w:color="auto" w:sz="4" w:space="0"/>
              <w:right w:val="single" w:color="auto" w:sz="4" w:space="0"/>
            </w:tcBorders>
            <w:noWrap w:val="0"/>
            <w:vAlign w:val="center"/>
          </w:tcPr>
          <w:p w14:paraId="28940A05">
            <w:pPr>
              <w:spacing w:line="360" w:lineRule="auto"/>
              <w:jc w:val="center"/>
              <w:rPr>
                <w:rFonts w:hint="eastAsia" w:ascii="宋体" w:hAnsi="宋体" w:eastAsia="宋体"/>
                <w:sz w:val="24"/>
                <w:szCs w:val="32"/>
                <w:lang w:eastAsia="zh-CN"/>
              </w:rPr>
            </w:pPr>
            <w:r>
              <w:rPr>
                <w:rFonts w:hint="eastAsia" w:ascii="宋体" w:hAnsi="宋体"/>
                <w:sz w:val="24"/>
                <w:szCs w:val="32"/>
                <w:lang w:val="en-US" w:eastAsia="zh-CN" w:bidi="ar"/>
              </w:rPr>
              <w:t>条文</w:t>
            </w:r>
          </w:p>
        </w:tc>
        <w:tc>
          <w:tcPr>
            <w:tcW w:w="6773" w:type="dxa"/>
            <w:tcBorders>
              <w:top w:val="single" w:color="auto" w:sz="4" w:space="0"/>
              <w:left w:val="single" w:color="auto" w:sz="4" w:space="0"/>
              <w:bottom w:val="single" w:color="auto" w:sz="4" w:space="0"/>
              <w:right w:val="single" w:color="auto" w:sz="4" w:space="0"/>
            </w:tcBorders>
            <w:noWrap w:val="0"/>
            <w:vAlign w:val="center"/>
          </w:tcPr>
          <w:p w14:paraId="36671DF9">
            <w:pPr>
              <w:spacing w:line="360" w:lineRule="auto"/>
              <w:jc w:val="center"/>
              <w:rPr>
                <w:rFonts w:hint="eastAsia" w:ascii="宋体" w:hAnsi="宋体"/>
                <w:sz w:val="24"/>
                <w:szCs w:val="32"/>
              </w:rPr>
            </w:pPr>
            <w:r>
              <w:rPr>
                <w:rFonts w:hint="eastAsia" w:ascii="宋体" w:hAnsi="宋体"/>
                <w:sz w:val="24"/>
                <w:szCs w:val="32"/>
                <w:lang w:bidi="ar"/>
              </w:rPr>
              <w:t>修改说明</w:t>
            </w:r>
          </w:p>
        </w:tc>
      </w:tr>
      <w:tr w14:paraId="6D6F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20EA0286">
            <w:pPr>
              <w:spacing w:line="360" w:lineRule="auto"/>
              <w:jc w:val="center"/>
              <w:rPr>
                <w:rFonts w:hint="eastAsia" w:ascii="宋体" w:hAnsi="宋体"/>
                <w:sz w:val="24"/>
                <w:szCs w:val="32"/>
              </w:rPr>
            </w:pPr>
            <w:r>
              <w:rPr>
                <w:rFonts w:hint="eastAsia" w:ascii="宋体" w:hAnsi="宋体"/>
                <w:sz w:val="24"/>
                <w:szCs w:val="32"/>
                <w:lang w:bidi="ar"/>
              </w:rPr>
              <w:t>1</w:t>
            </w:r>
          </w:p>
        </w:tc>
        <w:tc>
          <w:tcPr>
            <w:tcW w:w="1874" w:type="dxa"/>
            <w:tcBorders>
              <w:top w:val="single" w:color="auto" w:sz="4" w:space="0"/>
              <w:left w:val="single" w:color="auto" w:sz="4" w:space="0"/>
              <w:bottom w:val="single" w:color="auto" w:sz="4" w:space="0"/>
              <w:right w:val="single" w:color="auto" w:sz="4" w:space="0"/>
            </w:tcBorders>
            <w:noWrap w:val="0"/>
            <w:vAlign w:val="center"/>
          </w:tcPr>
          <w:p w14:paraId="37285B23">
            <w:pPr>
              <w:spacing w:after="156" w:afterLines="50"/>
              <w:jc w:val="left"/>
              <w:rPr>
                <w:rFonts w:hint="eastAsia" w:ascii="宋体" w:hAnsi="宋体"/>
                <w:sz w:val="24"/>
                <w:szCs w:val="32"/>
                <w:lang w:bidi="ar"/>
              </w:rPr>
            </w:pPr>
            <w:r>
              <w:rPr>
                <w:rFonts w:hint="eastAsia" w:ascii="宋体" w:hAnsi="宋体"/>
                <w:sz w:val="24"/>
                <w:szCs w:val="32"/>
                <w:lang w:bidi="ar"/>
              </w:rPr>
              <w:t>表2</w:t>
            </w:r>
            <w:r>
              <w:rPr>
                <w:rFonts w:hint="eastAsia" w:ascii="宋体" w:hAnsi="宋体"/>
                <w:sz w:val="24"/>
                <w:szCs w:val="32"/>
                <w:lang w:eastAsia="zh-CN" w:bidi="ar"/>
              </w:rPr>
              <w:t>、</w:t>
            </w:r>
            <w:r>
              <w:rPr>
                <w:rFonts w:hint="eastAsia" w:ascii="宋体" w:hAnsi="宋体"/>
                <w:sz w:val="24"/>
                <w:szCs w:val="32"/>
                <w:lang w:bidi="ar"/>
              </w:rPr>
              <w:t>表4</w:t>
            </w:r>
          </w:p>
        </w:tc>
        <w:tc>
          <w:tcPr>
            <w:tcW w:w="6773" w:type="dxa"/>
            <w:tcBorders>
              <w:top w:val="single" w:color="auto" w:sz="4" w:space="0"/>
              <w:left w:val="single" w:color="auto" w:sz="4" w:space="0"/>
              <w:bottom w:val="single" w:color="auto" w:sz="4" w:space="0"/>
              <w:right w:val="single" w:color="auto" w:sz="4" w:space="0"/>
            </w:tcBorders>
            <w:noWrap w:val="0"/>
            <w:vAlign w:val="center"/>
          </w:tcPr>
          <w:p w14:paraId="1EE08F08">
            <w:pPr>
              <w:spacing w:line="360" w:lineRule="auto"/>
              <w:jc w:val="both"/>
              <w:rPr>
                <w:rFonts w:hint="default" w:ascii="宋体" w:hAnsi="宋体" w:eastAsia="宋体"/>
                <w:sz w:val="24"/>
                <w:szCs w:val="32"/>
                <w:lang w:val="en-US" w:eastAsia="zh-CN"/>
              </w:rPr>
            </w:pPr>
            <w:r>
              <w:rPr>
                <w:rFonts w:hint="eastAsia" w:ascii="宋体" w:hAnsi="宋体"/>
                <w:sz w:val="24"/>
                <w:szCs w:val="32"/>
                <w:lang w:val="en-US" w:eastAsia="zh-CN"/>
              </w:rPr>
              <w:t>按照春饼的口味分为咸味（绿豆）春饼和甜味（芋泥）春饼两种并注明原料用量。</w:t>
            </w:r>
          </w:p>
        </w:tc>
      </w:tr>
      <w:tr w14:paraId="7DBED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72D77F0D">
            <w:pPr>
              <w:spacing w:line="360" w:lineRule="auto"/>
              <w:jc w:val="center"/>
              <w:rPr>
                <w:rFonts w:hint="eastAsia" w:ascii="宋体" w:hAnsi="宋体"/>
                <w:sz w:val="24"/>
                <w:szCs w:val="32"/>
              </w:rPr>
            </w:pPr>
            <w:r>
              <w:rPr>
                <w:rFonts w:hint="eastAsia" w:ascii="宋体" w:hAnsi="宋体"/>
                <w:sz w:val="24"/>
                <w:szCs w:val="32"/>
                <w:lang w:bidi="ar"/>
              </w:rPr>
              <w:t>2</w:t>
            </w:r>
          </w:p>
        </w:tc>
        <w:tc>
          <w:tcPr>
            <w:tcW w:w="1874" w:type="dxa"/>
            <w:tcBorders>
              <w:top w:val="single" w:color="auto" w:sz="4" w:space="0"/>
              <w:left w:val="single" w:color="auto" w:sz="4" w:space="0"/>
              <w:bottom w:val="single" w:color="auto" w:sz="4" w:space="0"/>
              <w:right w:val="single" w:color="auto" w:sz="4" w:space="0"/>
            </w:tcBorders>
            <w:noWrap w:val="0"/>
            <w:vAlign w:val="center"/>
          </w:tcPr>
          <w:p w14:paraId="718F4F97">
            <w:pPr>
              <w:spacing w:after="156" w:afterLines="50"/>
              <w:jc w:val="left"/>
              <w:rPr>
                <w:rFonts w:hint="eastAsia" w:ascii="宋体" w:hAnsi="宋体" w:eastAsia="宋体"/>
                <w:sz w:val="24"/>
                <w:szCs w:val="32"/>
                <w:lang w:val="en-US" w:eastAsia="zh-CN" w:bidi="ar"/>
              </w:rPr>
            </w:pPr>
            <w:r>
              <w:rPr>
                <w:rFonts w:hint="eastAsia" w:ascii="宋体" w:hAnsi="宋体"/>
                <w:sz w:val="24"/>
                <w:szCs w:val="32"/>
                <w:lang w:bidi="ar"/>
              </w:rPr>
              <w:t>4.3卫生</w:t>
            </w:r>
            <w:r>
              <w:rPr>
                <w:rFonts w:hint="eastAsia" w:ascii="宋体" w:hAnsi="宋体"/>
                <w:sz w:val="24"/>
                <w:szCs w:val="32"/>
                <w:lang w:val="en-US" w:eastAsia="zh-CN" w:bidi="ar"/>
              </w:rPr>
              <w:t>要求</w:t>
            </w:r>
          </w:p>
        </w:tc>
        <w:tc>
          <w:tcPr>
            <w:tcW w:w="6773" w:type="dxa"/>
            <w:tcBorders>
              <w:top w:val="single" w:color="auto" w:sz="4" w:space="0"/>
              <w:left w:val="single" w:color="auto" w:sz="4" w:space="0"/>
              <w:bottom w:val="single" w:color="auto" w:sz="4" w:space="0"/>
              <w:right w:val="single" w:color="auto" w:sz="4" w:space="0"/>
            </w:tcBorders>
            <w:noWrap w:val="0"/>
            <w:vAlign w:val="center"/>
          </w:tcPr>
          <w:p w14:paraId="12926B77">
            <w:pPr>
              <w:spacing w:line="360" w:lineRule="auto"/>
              <w:jc w:val="both"/>
              <w:rPr>
                <w:rFonts w:hint="eastAsia" w:ascii="宋体" w:hAnsi="宋体" w:eastAsia="宋体"/>
                <w:sz w:val="24"/>
                <w:szCs w:val="32"/>
                <w:lang w:val="en-US" w:eastAsia="zh-CN"/>
              </w:rPr>
            </w:pPr>
            <w:r>
              <w:rPr>
                <w:rFonts w:hint="eastAsia" w:ascii="宋体" w:hAnsi="宋体"/>
                <w:sz w:val="24"/>
                <w:szCs w:val="32"/>
                <w:lang w:val="en-US" w:eastAsia="zh-CN"/>
              </w:rPr>
              <w:t>调整法律法规和标准的顺序和文字表述</w:t>
            </w:r>
          </w:p>
        </w:tc>
      </w:tr>
      <w:tr w14:paraId="4D58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16065AF5">
            <w:pPr>
              <w:spacing w:line="360" w:lineRule="auto"/>
              <w:jc w:val="center"/>
              <w:rPr>
                <w:rFonts w:hint="eastAsia" w:ascii="宋体" w:hAnsi="宋体"/>
                <w:sz w:val="24"/>
                <w:szCs w:val="32"/>
                <w:highlight w:val="none"/>
              </w:rPr>
            </w:pPr>
            <w:r>
              <w:rPr>
                <w:rFonts w:hint="eastAsia" w:ascii="宋体" w:hAnsi="宋体"/>
                <w:sz w:val="24"/>
                <w:szCs w:val="32"/>
                <w:highlight w:val="none"/>
                <w:lang w:bidi="ar"/>
              </w:rPr>
              <w:t>3</w:t>
            </w:r>
          </w:p>
        </w:tc>
        <w:tc>
          <w:tcPr>
            <w:tcW w:w="1874" w:type="dxa"/>
            <w:tcBorders>
              <w:top w:val="single" w:color="auto" w:sz="4" w:space="0"/>
              <w:left w:val="single" w:color="auto" w:sz="4" w:space="0"/>
              <w:bottom w:val="single" w:color="auto" w:sz="4" w:space="0"/>
              <w:right w:val="single" w:color="auto" w:sz="4" w:space="0"/>
            </w:tcBorders>
            <w:noWrap w:val="0"/>
            <w:vAlign w:val="center"/>
          </w:tcPr>
          <w:p w14:paraId="20E46C08">
            <w:pPr>
              <w:rPr>
                <w:rFonts w:hint="eastAsia" w:ascii="宋体" w:hAnsi="宋体"/>
                <w:sz w:val="24"/>
                <w:szCs w:val="32"/>
                <w:highlight w:val="none"/>
                <w:lang w:bidi="ar"/>
              </w:rPr>
            </w:pPr>
            <w:r>
              <w:rPr>
                <w:rFonts w:ascii="宋体" w:hAnsi="宋体"/>
                <w:sz w:val="24"/>
                <w:szCs w:val="32"/>
                <w:highlight w:val="none"/>
                <w:lang w:bidi="ar"/>
              </w:rPr>
              <w:t>4</w:t>
            </w:r>
            <w:r>
              <w:rPr>
                <w:rFonts w:hint="eastAsia" w:ascii="宋体" w:hAnsi="宋体"/>
                <w:sz w:val="24"/>
                <w:szCs w:val="32"/>
                <w:highlight w:val="none"/>
                <w:lang w:bidi="ar"/>
              </w:rPr>
              <w:t>原料要求</w:t>
            </w:r>
          </w:p>
        </w:tc>
        <w:tc>
          <w:tcPr>
            <w:tcW w:w="6773" w:type="dxa"/>
            <w:tcBorders>
              <w:top w:val="single" w:color="auto" w:sz="4" w:space="0"/>
              <w:left w:val="single" w:color="auto" w:sz="4" w:space="0"/>
              <w:bottom w:val="single" w:color="auto" w:sz="4" w:space="0"/>
              <w:right w:val="single" w:color="auto" w:sz="4" w:space="0"/>
            </w:tcBorders>
            <w:noWrap w:val="0"/>
            <w:vAlign w:val="center"/>
          </w:tcPr>
          <w:p w14:paraId="4C14693C">
            <w:pPr>
              <w:spacing w:line="360" w:lineRule="auto"/>
              <w:jc w:val="both"/>
              <w:rPr>
                <w:rFonts w:hint="eastAsia" w:ascii="宋体" w:hAnsi="宋体" w:eastAsia="宋体"/>
                <w:sz w:val="24"/>
                <w:szCs w:val="32"/>
                <w:lang w:val="en-US" w:eastAsia="zh-CN"/>
              </w:rPr>
            </w:pPr>
            <w:r>
              <w:rPr>
                <w:rFonts w:hint="eastAsia" w:ascii="宋体" w:hAnsi="宋体"/>
                <w:sz w:val="24"/>
                <w:szCs w:val="32"/>
                <w:highlight w:val="none"/>
                <w:lang w:bidi="ar"/>
              </w:rPr>
              <w:t>规范对原料要求的表述</w:t>
            </w:r>
          </w:p>
        </w:tc>
      </w:tr>
      <w:tr w14:paraId="7B91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71F976BC">
            <w:pPr>
              <w:spacing w:line="360" w:lineRule="auto"/>
              <w:jc w:val="center"/>
              <w:rPr>
                <w:rFonts w:hint="eastAsia" w:ascii="宋体" w:hAnsi="宋体"/>
                <w:sz w:val="24"/>
                <w:szCs w:val="32"/>
                <w:highlight w:val="none"/>
                <w:lang w:bidi="ar"/>
              </w:rPr>
            </w:pPr>
            <w:r>
              <w:rPr>
                <w:rFonts w:hint="eastAsia" w:ascii="宋体" w:hAnsi="宋体"/>
                <w:sz w:val="24"/>
                <w:szCs w:val="32"/>
                <w:highlight w:val="none"/>
                <w:lang w:bidi="ar"/>
              </w:rPr>
              <w:t>4</w:t>
            </w:r>
          </w:p>
        </w:tc>
        <w:tc>
          <w:tcPr>
            <w:tcW w:w="1874" w:type="dxa"/>
            <w:tcBorders>
              <w:top w:val="single" w:color="auto" w:sz="4" w:space="0"/>
              <w:left w:val="single" w:color="auto" w:sz="4" w:space="0"/>
              <w:bottom w:val="single" w:color="auto" w:sz="4" w:space="0"/>
              <w:right w:val="single" w:color="auto" w:sz="4" w:space="0"/>
            </w:tcBorders>
            <w:noWrap w:val="0"/>
            <w:vAlign w:val="center"/>
          </w:tcPr>
          <w:p w14:paraId="70F367FF">
            <w:pPr>
              <w:rPr>
                <w:rFonts w:hint="eastAsia" w:ascii="宋体" w:hAnsi="宋体"/>
                <w:sz w:val="24"/>
                <w:szCs w:val="32"/>
                <w:highlight w:val="none"/>
                <w:lang w:bidi="ar"/>
              </w:rPr>
            </w:pPr>
            <w:r>
              <w:rPr>
                <w:rFonts w:hint="eastAsia" w:ascii="宋体" w:hAnsi="宋体"/>
                <w:sz w:val="24"/>
                <w:szCs w:val="32"/>
                <w:highlight w:val="none"/>
                <w:lang w:bidi="ar"/>
              </w:rPr>
              <w:t>5烹饪工艺</w:t>
            </w:r>
          </w:p>
        </w:tc>
        <w:tc>
          <w:tcPr>
            <w:tcW w:w="6773" w:type="dxa"/>
            <w:tcBorders>
              <w:top w:val="single" w:color="auto" w:sz="4" w:space="0"/>
              <w:left w:val="single" w:color="auto" w:sz="4" w:space="0"/>
              <w:bottom w:val="single" w:color="auto" w:sz="4" w:space="0"/>
              <w:right w:val="single" w:color="auto" w:sz="4" w:space="0"/>
            </w:tcBorders>
            <w:noWrap w:val="0"/>
            <w:vAlign w:val="center"/>
          </w:tcPr>
          <w:p w14:paraId="5D60C7AA">
            <w:pPr>
              <w:spacing w:line="360" w:lineRule="auto"/>
              <w:jc w:val="both"/>
              <w:rPr>
                <w:rFonts w:hint="eastAsia" w:ascii="宋体" w:hAnsi="宋体" w:eastAsia="宋体"/>
                <w:sz w:val="24"/>
                <w:szCs w:val="32"/>
                <w:lang w:val="en-US" w:eastAsia="zh-CN"/>
              </w:rPr>
            </w:pPr>
            <w:r>
              <w:rPr>
                <w:rFonts w:hint="eastAsia" w:ascii="宋体" w:hAnsi="宋体"/>
                <w:sz w:val="24"/>
                <w:szCs w:val="32"/>
                <w:lang w:val="en-US" w:eastAsia="zh-CN"/>
              </w:rPr>
              <w:t>“醒发”表述为“饧发”</w:t>
            </w:r>
          </w:p>
        </w:tc>
      </w:tr>
      <w:tr w14:paraId="3BB1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2CCA2C53">
            <w:pPr>
              <w:spacing w:line="360" w:lineRule="auto"/>
              <w:jc w:val="center"/>
              <w:rPr>
                <w:rFonts w:hint="eastAsia" w:ascii="宋体" w:hAnsi="宋体"/>
                <w:sz w:val="24"/>
                <w:szCs w:val="32"/>
                <w:lang w:bidi="ar"/>
              </w:rPr>
            </w:pPr>
            <w:r>
              <w:rPr>
                <w:rFonts w:hint="eastAsia" w:ascii="宋体" w:hAnsi="宋体"/>
                <w:sz w:val="24"/>
                <w:szCs w:val="32"/>
                <w:lang w:bidi="ar"/>
              </w:rPr>
              <w:t>5</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692A662">
            <w:pPr>
              <w:rPr>
                <w:rFonts w:hint="eastAsia" w:ascii="宋体" w:hAnsi="宋体" w:eastAsia="宋体" w:cs="Times New Roman"/>
                <w:kern w:val="2"/>
                <w:sz w:val="24"/>
                <w:szCs w:val="32"/>
                <w:highlight w:val="none"/>
                <w:lang w:val="en-US" w:eastAsia="zh-CN" w:bidi="ar"/>
              </w:rPr>
            </w:pPr>
            <w:r>
              <w:rPr>
                <w:rFonts w:hint="eastAsia" w:ascii="宋体" w:hAnsi="宋体"/>
                <w:sz w:val="24"/>
                <w:szCs w:val="32"/>
                <w:highlight w:val="none"/>
                <w:lang w:val="en-US" w:eastAsia="zh-CN" w:bidi="ar"/>
              </w:rPr>
              <w:t>引言</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A93E99C">
            <w:pPr>
              <w:spacing w:line="360" w:lineRule="auto"/>
              <w:jc w:val="both"/>
              <w:rPr>
                <w:rFonts w:hint="default" w:ascii="宋体" w:hAnsi="宋体" w:eastAsia="宋体" w:cs="Times New Roman"/>
                <w:kern w:val="2"/>
                <w:sz w:val="24"/>
                <w:szCs w:val="32"/>
                <w:lang w:val="en-US" w:eastAsia="zh-CN" w:bidi="ar-SA"/>
              </w:rPr>
            </w:pPr>
            <w:r>
              <w:rPr>
                <w:rFonts w:hint="eastAsia" w:ascii="宋体" w:hAnsi="宋体"/>
                <w:sz w:val="24"/>
                <w:szCs w:val="32"/>
                <w:lang w:val="en-US" w:eastAsia="zh-CN"/>
              </w:rPr>
              <w:t>引言部分补充潮州春饼的咸甜馅料区别于其他地区的特色</w:t>
            </w:r>
          </w:p>
        </w:tc>
      </w:tr>
      <w:tr w14:paraId="3134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noWrap w:val="0"/>
            <w:vAlign w:val="center"/>
          </w:tcPr>
          <w:p w14:paraId="3E446850">
            <w:pPr>
              <w:spacing w:line="360" w:lineRule="auto"/>
              <w:jc w:val="center"/>
              <w:rPr>
                <w:rFonts w:hint="eastAsia" w:ascii="宋体" w:hAnsi="宋体"/>
                <w:sz w:val="24"/>
                <w:szCs w:val="32"/>
                <w:lang w:bidi="ar"/>
              </w:rPr>
            </w:pPr>
            <w:r>
              <w:rPr>
                <w:rFonts w:hint="eastAsia" w:ascii="宋体" w:hAnsi="宋体"/>
                <w:sz w:val="24"/>
                <w:szCs w:val="32"/>
                <w:lang w:bidi="ar"/>
              </w:rPr>
              <w:t>6</w:t>
            </w:r>
          </w:p>
        </w:tc>
        <w:tc>
          <w:tcPr>
            <w:tcW w:w="187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5B7735A">
            <w:pPr>
              <w:rPr>
                <w:rFonts w:hint="eastAsia" w:ascii="宋体" w:hAnsi="宋体" w:eastAsia="宋体" w:cs="Times New Roman"/>
                <w:kern w:val="2"/>
                <w:sz w:val="24"/>
                <w:szCs w:val="32"/>
                <w:lang w:val="en-US" w:eastAsia="zh-CN" w:bidi="ar"/>
              </w:rPr>
            </w:pPr>
            <w:r>
              <w:rPr>
                <w:rFonts w:hint="eastAsia" w:ascii="宋体" w:hAnsi="宋体"/>
                <w:sz w:val="24"/>
                <w:szCs w:val="32"/>
                <w:lang w:bidi="ar"/>
              </w:rPr>
              <w:t>表2</w:t>
            </w:r>
          </w:p>
        </w:tc>
        <w:tc>
          <w:tcPr>
            <w:tcW w:w="6773"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BAEDC67">
            <w:pPr>
              <w:spacing w:line="360" w:lineRule="auto"/>
              <w:jc w:val="both"/>
              <w:rPr>
                <w:rFonts w:hint="eastAsia" w:ascii="宋体" w:hAnsi="宋体" w:eastAsia="宋体" w:cs="Times New Roman"/>
                <w:kern w:val="2"/>
                <w:sz w:val="24"/>
                <w:szCs w:val="32"/>
                <w:lang w:val="en-US" w:eastAsia="zh-CN" w:bidi="ar-SA"/>
              </w:rPr>
            </w:pPr>
            <w:r>
              <w:rPr>
                <w:rFonts w:hint="eastAsia" w:ascii="宋体" w:hAnsi="宋体"/>
                <w:sz w:val="24"/>
                <w:szCs w:val="32"/>
                <w:lang w:val="en-US" w:eastAsia="zh-CN"/>
              </w:rPr>
              <w:t>甜芋泥的执行标准修改为</w:t>
            </w:r>
            <w:r>
              <w:rPr>
                <w:rFonts w:hint="eastAsia" w:ascii="宋体" w:hAnsi="宋体"/>
                <w:sz w:val="24"/>
                <w:szCs w:val="32"/>
              </w:rPr>
              <w:t>NY/T 1</w:t>
            </w:r>
            <w:r>
              <w:rPr>
                <w:rFonts w:hint="eastAsia" w:ascii="宋体" w:hAnsi="宋体"/>
                <w:sz w:val="24"/>
                <w:szCs w:val="32"/>
                <w:lang w:val="en-US" w:eastAsia="zh-CN"/>
              </w:rPr>
              <w:t>049《绿色食品 薯芋类蔬菜》</w:t>
            </w:r>
          </w:p>
        </w:tc>
      </w:tr>
    </w:tbl>
    <w:p w14:paraId="4E2C377C">
      <w:pPr>
        <w:numPr>
          <w:ilvl w:val="0"/>
          <w:numId w:val="0"/>
        </w:numPr>
        <w:snapToGrid w:val="0"/>
        <w:spacing w:line="560" w:lineRule="exact"/>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2024年10</w:t>
      </w:r>
      <w:bookmarkStart w:id="2" w:name="_GoBack"/>
      <w:bookmarkEnd w:id="2"/>
      <w:r>
        <w:rPr>
          <w:rFonts w:hint="eastAsia" w:ascii="仿宋" w:hAnsi="仿宋" w:eastAsia="仿宋" w:cs="仿宋"/>
          <w:sz w:val="30"/>
          <w:szCs w:val="30"/>
          <w:lang w:val="en-US" w:eastAsia="zh-CN"/>
        </w:rPr>
        <w:t>月10日，标准第二次修订发布。</w:t>
      </w:r>
    </w:p>
    <w:p w14:paraId="374DCB21">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textAlignment w:val="auto"/>
        <w:rPr>
          <w:rFonts w:hint="default" w:ascii="仿宋" w:hAnsi="仿宋" w:eastAsia="仿宋" w:cs="仿宋"/>
          <w:sz w:val="30"/>
          <w:szCs w:val="30"/>
          <w:lang w:val="en-US" w:eastAsia="zh-CN"/>
        </w:rPr>
      </w:pPr>
    </w:p>
    <w:p w14:paraId="1A04B480">
      <w:pPr>
        <w:numPr>
          <w:ilvl w:val="0"/>
          <w:numId w:val="3"/>
        </w:num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标准编制原则依据</w:t>
      </w:r>
    </w:p>
    <w:p w14:paraId="38C3D460">
      <w:pPr>
        <w:numPr>
          <w:ilvl w:val="0"/>
          <w:numId w:val="4"/>
        </w:num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指导思想</w:t>
      </w:r>
    </w:p>
    <w:p w14:paraId="7EFF3216">
      <w:pPr>
        <w:snapToGrid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秉承潮菜是潮汕人共同文化财富的精神，广泛联合潮汕各市及粤港澳潮菜餐饮行业协会、标准化机构、培训机构、名餐馆和潮菜专业人士，搭建潮菜标准化工作平台，用标准化的形式保护和传承潮菜文化，促进潮菜产业发展。尊重历史、着眼当前、面向未来，兼顾传统和流行，以行业整体利益为重，充分协调，调动各地、各方面的积极性。</w:t>
      </w:r>
    </w:p>
    <w:p w14:paraId="55C5384E">
      <w:pPr>
        <w:numPr>
          <w:ilvl w:val="0"/>
          <w:numId w:val="4"/>
        </w:numPr>
        <w:snapToGrid w:val="0"/>
        <w:spacing w:before="156" w:beforeLines="50" w:after="156" w:afterLines="50" w:line="560" w:lineRule="exact"/>
        <w:ind w:firstLine="602" w:firstLineChars="200"/>
        <w:rPr>
          <w:rFonts w:ascii="楷体" w:hAnsi="楷体" w:eastAsia="楷体" w:cs="仿宋"/>
          <w:b/>
          <w:kern w:val="0"/>
          <w:sz w:val="30"/>
          <w:szCs w:val="30"/>
        </w:rPr>
      </w:pPr>
      <w:r>
        <w:rPr>
          <w:rFonts w:hint="eastAsia" w:ascii="楷体" w:hAnsi="楷体" w:eastAsia="楷体" w:cs="仿宋"/>
          <w:b/>
          <w:kern w:val="0"/>
          <w:sz w:val="30"/>
          <w:szCs w:val="30"/>
        </w:rPr>
        <w:t>编制原则</w:t>
      </w:r>
    </w:p>
    <w:p w14:paraId="1BCD3A6F">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 遵循国家有关法律、法规和规章，方针和政策。</w:t>
      </w:r>
    </w:p>
    <w:p w14:paraId="682BBCEB">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2. 严格执行强制性国家标准，参考国家标准的相关要求，充分考虑与其它相关标准相协调。</w:t>
      </w:r>
    </w:p>
    <w:p w14:paraId="18431CEA">
      <w:pPr>
        <w:snapToGrid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3. </w:t>
      </w:r>
      <w:r>
        <w:rPr>
          <w:rFonts w:hint="eastAsia" w:ascii="仿宋" w:hAnsi="仿宋" w:eastAsia="仿宋" w:cs="仿宋"/>
          <w:sz w:val="30"/>
          <w:szCs w:val="30"/>
          <w:lang w:val="en-US" w:eastAsia="zh-CN"/>
        </w:rPr>
        <w:t>标准内容和</w:t>
      </w:r>
      <w:r>
        <w:rPr>
          <w:rFonts w:hint="eastAsia" w:ascii="仿宋" w:hAnsi="仿宋" w:eastAsia="仿宋" w:cs="仿宋"/>
          <w:sz w:val="30"/>
          <w:szCs w:val="30"/>
        </w:rPr>
        <w:t>格式按照 GB/T 1.1-2020《标准化工作导则 第 1 部分：标准化文件的结构和起草规划》</w:t>
      </w:r>
      <w:r>
        <w:rPr>
          <w:rFonts w:hint="eastAsia" w:ascii="仿宋" w:hAnsi="仿宋" w:eastAsia="仿宋" w:cs="仿宋"/>
          <w:sz w:val="30"/>
          <w:szCs w:val="30"/>
          <w:lang w:val="en-US" w:eastAsia="zh-CN"/>
        </w:rPr>
        <w:t>和</w:t>
      </w:r>
      <w:r>
        <w:rPr>
          <w:rFonts w:hint="eastAsia" w:ascii="仿宋" w:hAnsi="仿宋" w:eastAsia="仿宋" w:cs="仿宋"/>
          <w:sz w:val="30"/>
          <w:szCs w:val="30"/>
        </w:rPr>
        <w:t>T/GDPRXH 002</w:t>
      </w:r>
      <w:r>
        <w:rPr>
          <w:rFonts w:hint="eastAsia" w:ascii="仿宋" w:hAnsi="仿宋" w:eastAsia="仿宋" w:cs="仿宋"/>
          <w:sz w:val="30"/>
          <w:szCs w:val="30"/>
          <w:lang w:val="en-US" w:eastAsia="zh-CN"/>
        </w:rPr>
        <w:t>-2021《粤菜菜品标准编制指南》</w:t>
      </w:r>
      <w:r>
        <w:rPr>
          <w:rFonts w:hint="eastAsia" w:ascii="仿宋" w:hAnsi="仿宋" w:eastAsia="仿宋" w:cs="仿宋"/>
          <w:sz w:val="30"/>
          <w:szCs w:val="30"/>
        </w:rPr>
        <w:t>的规定进行编写。</w:t>
      </w:r>
    </w:p>
    <w:p w14:paraId="1D709037">
      <w:pPr>
        <w:snapToGrid w:val="0"/>
        <w:spacing w:line="56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b w:val="0"/>
          <w:bCs/>
          <w:kern w:val="0"/>
          <w:sz w:val="30"/>
          <w:szCs w:val="30"/>
          <w:lang w:val="en-US" w:eastAsia="zh-CN"/>
        </w:rPr>
        <w:t xml:space="preserve">4. </w:t>
      </w:r>
      <w:r>
        <w:rPr>
          <w:rFonts w:hint="eastAsia" w:ascii="仿宋" w:hAnsi="仿宋" w:eastAsia="仿宋" w:cs="仿宋"/>
          <w:sz w:val="30"/>
          <w:szCs w:val="30"/>
          <w:lang w:eastAsia="zh-CN"/>
        </w:rPr>
        <w:t>在</w:t>
      </w:r>
      <w:r>
        <w:rPr>
          <w:rFonts w:hint="eastAsia" w:ascii="仿宋" w:hAnsi="仿宋" w:eastAsia="仿宋" w:cs="仿宋"/>
          <w:sz w:val="30"/>
          <w:szCs w:val="30"/>
          <w:lang w:val="en-US" w:eastAsia="zh-CN"/>
        </w:rPr>
        <w:t>标准编制过程中，遵循以下原则：</w:t>
      </w:r>
    </w:p>
    <w:p w14:paraId="4FF3CA6B">
      <w:pPr>
        <w:numPr>
          <w:ilvl w:val="0"/>
          <w:numId w:val="5"/>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传承经典：通过潮菜标准编制，汇集潮汕地区传统名菜，传承潮汕饮食文化经典；</w:t>
      </w:r>
    </w:p>
    <w:p w14:paraId="149A113C">
      <w:pPr>
        <w:numPr>
          <w:ilvl w:val="0"/>
          <w:numId w:val="5"/>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协商一致：潮菜标准编制以协商一致为原则，充分考虑利益相关方的不同观点，协调争议，获得普遍认可；</w:t>
      </w:r>
    </w:p>
    <w:p w14:paraId="3F4C166B">
      <w:pPr>
        <w:numPr>
          <w:ilvl w:val="0"/>
          <w:numId w:val="5"/>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需求导向：潮菜标准编制以满足行业经营服务、传承和发展需要，提升潮菜服务的规范性和有效性为导向组织开展；</w:t>
      </w:r>
    </w:p>
    <w:p w14:paraId="446EA08F">
      <w:pPr>
        <w:numPr>
          <w:ilvl w:val="0"/>
          <w:numId w:val="5"/>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科学客观：潮菜标准编制应坚持科学性合理性原则，结合发展实际，可不断更新和充实；</w:t>
      </w:r>
    </w:p>
    <w:p w14:paraId="6EAA31D9">
      <w:pPr>
        <w:numPr>
          <w:ilvl w:val="0"/>
          <w:numId w:val="5"/>
        </w:numPr>
        <w:snapToGrid w:val="0"/>
        <w:spacing w:line="560" w:lineRule="exact"/>
        <w:ind w:left="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面向湾区，走向国际：潮菜标准编制既要考虑</w:t>
      </w:r>
      <w:r>
        <w:rPr>
          <w:rFonts w:hint="eastAsia" w:ascii="仿宋" w:hAnsi="仿宋" w:eastAsia="仿宋" w:cs="仿宋"/>
          <w:sz w:val="30"/>
          <w:szCs w:val="30"/>
          <w:lang w:val="en-US" w:eastAsia="zh-CN"/>
        </w:rPr>
        <w:t>粤港澳三地的</w:t>
      </w:r>
      <w:r>
        <w:rPr>
          <w:rFonts w:hint="default" w:ascii="仿宋" w:hAnsi="仿宋" w:eastAsia="仿宋" w:cs="仿宋"/>
          <w:sz w:val="30"/>
          <w:szCs w:val="30"/>
          <w:lang w:val="en-US" w:eastAsia="zh-CN"/>
        </w:rPr>
        <w:t>适用性，也要重视全球化影响，能在国际上通用。</w:t>
      </w:r>
    </w:p>
    <w:p w14:paraId="6D73700A">
      <w:pPr>
        <w:numPr>
          <w:ilvl w:val="0"/>
          <w:numId w:val="4"/>
        </w:numPr>
        <w:snapToGrid w:val="0"/>
        <w:spacing w:before="156" w:beforeLines="50" w:after="156" w:afterLines="50" w:line="560" w:lineRule="exact"/>
        <w:ind w:firstLine="602" w:firstLineChars="200"/>
        <w:rPr>
          <w:rFonts w:hint="eastAsia" w:ascii="楷体" w:hAnsi="楷体" w:eastAsia="楷体" w:cs="仿宋"/>
          <w:b/>
          <w:kern w:val="0"/>
          <w:sz w:val="30"/>
          <w:szCs w:val="30"/>
          <w:lang w:val="en-US" w:eastAsia="zh-CN"/>
        </w:rPr>
      </w:pPr>
      <w:r>
        <w:rPr>
          <w:rFonts w:hint="eastAsia" w:ascii="楷体" w:hAnsi="楷体" w:eastAsia="楷体" w:cs="仿宋"/>
          <w:b/>
          <w:kern w:val="0"/>
          <w:sz w:val="30"/>
          <w:szCs w:val="30"/>
          <w:lang w:val="en-US" w:eastAsia="zh-CN"/>
        </w:rPr>
        <w:t>编制依据</w:t>
      </w:r>
    </w:p>
    <w:p w14:paraId="715D39D9">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潮菜标准</w:t>
      </w:r>
      <w:r>
        <w:rPr>
          <w:rFonts w:hint="default" w:ascii="仿宋" w:hAnsi="仿宋" w:eastAsia="仿宋" w:cs="仿宋"/>
          <w:sz w:val="30"/>
          <w:szCs w:val="30"/>
          <w:lang w:val="en-US" w:eastAsia="zh-CN"/>
        </w:rPr>
        <w:t>制定工作是按照中共中央、国务院印发的《粤港澳大湾区发展规划纲要》精神开展。《</w:t>
      </w:r>
      <w:r>
        <w:rPr>
          <w:rFonts w:hint="eastAsia" w:ascii="仿宋" w:hAnsi="仿宋" w:eastAsia="仿宋" w:cs="仿宋"/>
          <w:sz w:val="30"/>
          <w:szCs w:val="30"/>
          <w:lang w:val="en-US" w:eastAsia="zh-CN"/>
        </w:rPr>
        <w:t>潮式小食</w:t>
      </w:r>
      <w:r>
        <w:rPr>
          <w:rFonts w:hint="default" w:ascii="仿宋" w:hAnsi="仿宋" w:eastAsia="仿宋" w:cs="仿宋"/>
          <w:sz w:val="30"/>
          <w:szCs w:val="30"/>
          <w:lang w:val="en-US" w:eastAsia="zh-CN"/>
        </w:rPr>
        <w:t xml:space="preserve">  </w:t>
      </w:r>
      <w:r>
        <w:rPr>
          <w:rFonts w:hint="eastAsia" w:ascii="仿宋" w:hAnsi="仿宋" w:eastAsia="仿宋" w:cs="仿宋"/>
          <w:sz w:val="30"/>
          <w:szCs w:val="30"/>
          <w:lang w:val="en-US" w:eastAsia="zh-CN"/>
        </w:rPr>
        <w:t>潮州春饼</w:t>
      </w:r>
      <w:r>
        <w:rPr>
          <w:rFonts w:hint="default" w:ascii="仿宋" w:hAnsi="仿宋" w:eastAsia="仿宋" w:cs="仿宋"/>
          <w:sz w:val="30"/>
          <w:szCs w:val="30"/>
          <w:lang w:val="en-US" w:eastAsia="zh-CN"/>
        </w:rPr>
        <w:t>》标准以严格执行国家标准化管理及食品卫生安全方面的法律法规为基础，其中涉及标准化工作包括《中华人民共和国标准化法》《团体标准管理规定》《广东省标准化条例》以及《湾区标准管理办法(试行 )》。</w:t>
      </w:r>
    </w:p>
    <w:p w14:paraId="20685FC0">
      <w:pPr>
        <w:numPr>
          <w:ilvl w:val="-1"/>
          <w:numId w:val="0"/>
        </w:numPr>
        <w:snapToGrid w:val="0"/>
        <w:spacing w:line="560" w:lineRule="exact"/>
        <w:ind w:left="0" w:leftChars="0" w:firstLine="600" w:firstLineChars="200"/>
        <w:rPr>
          <w:rFonts w:hint="eastAsia" w:ascii="仿宋" w:hAnsi="仿宋" w:eastAsia="仿宋" w:cs="仿宋"/>
          <w:sz w:val="30"/>
          <w:szCs w:val="30"/>
          <w:lang w:val="en-US" w:eastAsia="zh-CN"/>
        </w:rPr>
      </w:pP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潮州春饼</w:t>
      </w:r>
      <w:r>
        <w:rPr>
          <w:rFonts w:hint="default" w:ascii="仿宋" w:hAnsi="仿宋" w:eastAsia="仿宋" w:cs="仿宋"/>
          <w:sz w:val="30"/>
          <w:szCs w:val="30"/>
          <w:lang w:val="en-US" w:eastAsia="zh-CN"/>
        </w:rPr>
        <w:t>”作为</w:t>
      </w:r>
      <w:r>
        <w:rPr>
          <w:rFonts w:hint="eastAsia" w:ascii="仿宋" w:hAnsi="仿宋" w:eastAsia="仿宋" w:cs="仿宋"/>
          <w:sz w:val="30"/>
          <w:szCs w:val="30"/>
          <w:lang w:val="en-US" w:eastAsia="zh-CN"/>
        </w:rPr>
        <w:t>潮菜经典的菜品标准，是潮州地区街头巷尾的传统小吃佳品。潮州春饼呈长枕形，色泽金黄，外酥里嫩，味浓香郁，为人称道。潮州春饼咸馅用熟的绿豆瓣加上调配料包卷而成；甜馅则用传统潮州甜品芋泥为馅，均有别于其他地区的馅料；成品皮酥脆，馅咸香或甜滑，是中国春卷中的佼佼者之一，也是绝佳的下午“茶配”，小孩的零食。</w:t>
      </w:r>
    </w:p>
    <w:p w14:paraId="5F201FE0">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潮式小食</w:t>
      </w:r>
      <w:r>
        <w:rPr>
          <w:rFonts w:hint="default" w:ascii="仿宋" w:hAnsi="仿宋" w:eastAsia="仿宋" w:cs="仿宋"/>
          <w:sz w:val="30"/>
          <w:szCs w:val="30"/>
          <w:lang w:val="en-US" w:eastAsia="zh-CN"/>
        </w:rPr>
        <w:t xml:space="preserve">  </w:t>
      </w:r>
      <w:r>
        <w:rPr>
          <w:rFonts w:hint="eastAsia" w:ascii="仿宋" w:hAnsi="仿宋" w:eastAsia="仿宋" w:cs="仿宋"/>
          <w:sz w:val="30"/>
          <w:szCs w:val="30"/>
          <w:lang w:val="en-US" w:eastAsia="zh-CN"/>
        </w:rPr>
        <w:t>潮州春饼</w:t>
      </w:r>
      <w:r>
        <w:rPr>
          <w:rFonts w:hint="default" w:ascii="仿宋" w:hAnsi="仿宋" w:eastAsia="仿宋" w:cs="仿宋"/>
          <w:sz w:val="30"/>
          <w:szCs w:val="30"/>
          <w:lang w:val="en-US" w:eastAsia="zh-CN"/>
        </w:rPr>
        <w:t>》标准严格执行粤港澳三地的食品卫生安全方面的法律法规及技术规范，粤港澳三地餐饮卫生安全方面的法律、法规和技术规范包括:</w:t>
      </w:r>
    </w:p>
    <w:p w14:paraId="3F0442BC">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1、广东地区适用:《中华人民共和国食品安全法》《食品经营许可管理办法》《餐饮服务食品安全操作规范》《食品经营许可审查通则(试行)》《食品经营许可的实施细则(试行)》</w:t>
      </w:r>
      <w:r>
        <w:rPr>
          <w:rFonts w:hint="eastAsia" w:ascii="仿宋" w:hAnsi="仿宋" w:eastAsia="仿宋" w:cs="仿宋"/>
          <w:sz w:val="30"/>
          <w:szCs w:val="30"/>
          <w:lang w:val="en-US" w:eastAsia="zh-CN"/>
        </w:rPr>
        <w:t>和</w:t>
      </w:r>
      <w:r>
        <w:rPr>
          <w:rFonts w:hint="default" w:ascii="仿宋" w:hAnsi="仿宋" w:eastAsia="仿宋" w:cs="仿宋"/>
          <w:sz w:val="30"/>
          <w:szCs w:val="30"/>
          <w:lang w:val="en-US" w:eastAsia="zh-CN"/>
        </w:rPr>
        <w:t>GB 31654</w:t>
      </w:r>
      <w:r>
        <w:rPr>
          <w:rFonts w:hint="eastAsia" w:ascii="仿宋" w:hAnsi="仿宋" w:eastAsia="仿宋" w:cs="仿宋"/>
          <w:sz w:val="30"/>
          <w:szCs w:val="30"/>
          <w:lang w:val="en-US" w:eastAsia="zh-CN"/>
        </w:rPr>
        <w:t>《食品安全国家标准 餐饮服务通用卫生规范》</w:t>
      </w:r>
      <w:r>
        <w:rPr>
          <w:rFonts w:hint="default" w:ascii="仿宋" w:hAnsi="仿宋" w:eastAsia="仿宋" w:cs="仿宋"/>
          <w:sz w:val="30"/>
          <w:szCs w:val="30"/>
          <w:lang w:val="en-US" w:eastAsia="zh-CN"/>
        </w:rPr>
        <w:t>。</w:t>
      </w:r>
    </w:p>
    <w:p w14:paraId="4B1C39C7">
      <w:pPr>
        <w:numPr>
          <w:ilvl w:val="-1"/>
          <w:numId w:val="0"/>
        </w:numPr>
        <w:snapToGrid w:val="0"/>
        <w:spacing w:line="560" w:lineRule="exact"/>
        <w:ind w:left="0" w:leftChars="0" w:firstLine="600" w:firstLineChars="200"/>
        <w:rPr>
          <w:rFonts w:hint="default" w:ascii="仿宋" w:hAnsi="仿宋" w:eastAsia="仿宋" w:cs="仿宋"/>
          <w:sz w:val="30"/>
          <w:szCs w:val="30"/>
          <w:lang w:val="en-US" w:eastAsia="zh-CN"/>
        </w:rPr>
      </w:pPr>
      <w:r>
        <w:rPr>
          <w:rFonts w:hint="default" w:ascii="仿宋" w:hAnsi="仿宋" w:eastAsia="仿宋" w:cs="仿宋"/>
          <w:sz w:val="30"/>
          <w:szCs w:val="30"/>
          <w:lang w:val="en-US" w:eastAsia="zh-CN"/>
        </w:rPr>
        <w:t>2、香港地区适用:《食物安全条例》《食品安全命令实务守则》《香港入口食物指引》《食物回收指引》《食物内有害物质规例》《食物业规例》。</w:t>
      </w:r>
    </w:p>
    <w:p w14:paraId="19BDACC3">
      <w:pPr>
        <w:numPr>
          <w:ilvl w:val="-1"/>
          <w:numId w:val="0"/>
        </w:numPr>
        <w:snapToGrid w:val="0"/>
        <w:spacing w:line="560" w:lineRule="exact"/>
        <w:ind w:left="0" w:leftChars="0" w:firstLine="600" w:firstLineChars="200"/>
        <w:rPr>
          <w:rFonts w:ascii="黑体" w:hAnsi="黑体" w:eastAsia="黑体" w:cs="仿宋"/>
          <w:b/>
          <w:kern w:val="0"/>
          <w:sz w:val="30"/>
          <w:szCs w:val="30"/>
        </w:rPr>
      </w:pPr>
      <w:r>
        <w:rPr>
          <w:rFonts w:hint="default" w:ascii="仿宋" w:hAnsi="仿宋" w:eastAsia="仿宋" w:cs="仿宋"/>
          <w:sz w:val="30"/>
          <w:szCs w:val="30"/>
          <w:lang w:val="en-US" w:eastAsia="zh-CN"/>
        </w:rPr>
        <w:t>3、澳门地区适用:《食品安全法》《进口食品卫生指引》《食品回收指引》《运送食品的卫生指引》《食品卫生技术指引》。</w:t>
      </w:r>
    </w:p>
    <w:p w14:paraId="22DCDEF7">
      <w:pPr>
        <w:numPr>
          <w:ilvl w:val="0"/>
          <w:numId w:val="3"/>
        </w:num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标准主要内容</w:t>
      </w:r>
    </w:p>
    <w:p w14:paraId="189C19E7">
      <w:pPr>
        <w:snapToGrid w:val="0"/>
        <w:spacing w:before="156" w:beforeLines="50" w:after="156" w:afterLines="50" w:line="560" w:lineRule="exact"/>
        <w:ind w:left="602"/>
        <w:rPr>
          <w:rFonts w:ascii="楷体" w:hAnsi="楷体" w:eastAsia="楷体" w:cs="仿宋"/>
          <w:b/>
          <w:kern w:val="0"/>
          <w:sz w:val="30"/>
          <w:szCs w:val="30"/>
        </w:rPr>
      </w:pPr>
      <w:r>
        <w:rPr>
          <w:rFonts w:hint="eastAsia" w:ascii="楷体" w:hAnsi="楷体" w:eastAsia="楷体" w:cs="仿宋"/>
          <w:b/>
          <w:kern w:val="0"/>
          <w:sz w:val="30"/>
          <w:szCs w:val="30"/>
        </w:rPr>
        <w:t>（一）主要技术内容确定</w:t>
      </w:r>
    </w:p>
    <w:p w14:paraId="55086E70">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根据潮州春饼的性能特点以及相关标准的要求，本标准通过在粤港澳潮菜餐饮行业协会、标准化机构、院校、名餐馆及潮菜专业人士中广泛征求意见，从中提取潮菜中潮州春饼的历史人文信息，对基本要求、烹饪工艺、食用及特点等环节的要求进行设定，同时参考广东省地方标准《粤菜菜品标准编制指南》、《餐饮业食品卫生管理办法》等文件的相关要求。</w:t>
      </w:r>
    </w:p>
    <w:p w14:paraId="57467173">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在营养成分方面，为进一步探究潮菜菜品的营养价值，本标准对潮州春饼的营养成分进行了更加全面的分析和评价，包括以下指标：水分、蛋白质、脂肪、碳水化合物、能量及矿物质元素（Na），确保指标符合食品安全国家标准相关规定。</w:t>
      </w:r>
    </w:p>
    <w:p w14:paraId="6E4B1422">
      <w:pPr>
        <w:snapToGrid w:val="0"/>
        <w:spacing w:before="156" w:beforeLines="50" w:after="156" w:afterLines="50" w:line="560" w:lineRule="exact"/>
        <w:ind w:left="602"/>
        <w:rPr>
          <w:rFonts w:ascii="楷体" w:hAnsi="楷体" w:eastAsia="楷体" w:cs="仿宋"/>
          <w:b/>
          <w:kern w:val="0"/>
          <w:sz w:val="30"/>
          <w:szCs w:val="30"/>
        </w:rPr>
      </w:pPr>
      <w:r>
        <w:rPr>
          <w:rFonts w:hint="eastAsia" w:ascii="楷体" w:hAnsi="楷体" w:eastAsia="楷体" w:cs="仿宋"/>
          <w:b/>
          <w:kern w:val="0"/>
          <w:sz w:val="30"/>
          <w:szCs w:val="30"/>
        </w:rPr>
        <w:t>（二）主要技术内容说明</w:t>
      </w:r>
    </w:p>
    <w:p w14:paraId="51625D4E">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标准主要内容简介：</w:t>
      </w:r>
    </w:p>
    <w:p w14:paraId="2470FED1">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——引言：从潮汕民间传统介绍潮州春饼在潮汕饮食中的重要地位，以及潮州春饼在潮式小食中的特殊地位。</w:t>
      </w:r>
    </w:p>
    <w:p w14:paraId="7D733EF0">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——基本要求：列出潮州春饼主要原材料及其他辅调料的质量要求，器具要求与卫生要求。</w:t>
      </w:r>
    </w:p>
    <w:p w14:paraId="689F3BC9">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——烹饪工艺：明确潮州春饼预处理、加工过程及盛装的具体要求。</w:t>
      </w:r>
    </w:p>
    <w:p w14:paraId="4E4B564F">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——食用：明确食用及保存时间。</w:t>
      </w:r>
    </w:p>
    <w:p w14:paraId="3D1E2D5C">
      <w:pPr>
        <w:snapToGrid w:val="0"/>
        <w:spacing w:before="156" w:beforeLines="50" w:after="156" w:afterLines="50" w:line="560" w:lineRule="exact"/>
        <w:ind w:left="602"/>
        <w:rPr>
          <w:rFonts w:ascii="仿宋" w:hAnsi="仿宋" w:eastAsia="仿宋" w:cs="仿宋"/>
          <w:sz w:val="30"/>
          <w:szCs w:val="30"/>
        </w:rPr>
      </w:pPr>
      <w:r>
        <w:rPr>
          <w:rFonts w:hint="eastAsia" w:ascii="仿宋" w:hAnsi="仿宋" w:eastAsia="仿宋" w:cs="仿宋"/>
          <w:sz w:val="30"/>
          <w:szCs w:val="30"/>
        </w:rPr>
        <w:t>——特点：明确感官要求与营养成分。</w:t>
      </w:r>
    </w:p>
    <w:p w14:paraId="2440793E">
      <w:pPr>
        <w:numPr>
          <w:ilvl w:val="0"/>
          <w:numId w:val="3"/>
        </w:num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标准主要试验分析</w:t>
      </w:r>
    </w:p>
    <w:p w14:paraId="70B86F06">
      <w:pPr>
        <w:snapToGrid w:val="0"/>
        <w:spacing w:line="560" w:lineRule="exact"/>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标准中的营养成分试验分析使用以下标准和公式：</w:t>
      </w:r>
    </w:p>
    <w:p w14:paraId="2E878E5F">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能量＝蛋白质×17＋脂肪×37＋碳水化合物×17</w:t>
      </w:r>
    </w:p>
    <w:p w14:paraId="43C05B0C">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水分：采用GB 5009.3-2016第一法 直接干燥法</w:t>
      </w:r>
    </w:p>
    <w:p w14:paraId="730521F4">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蛋白质：采用GB 5009.5-2016第一法 凯氏定氮法</w:t>
      </w:r>
    </w:p>
    <w:p w14:paraId="4CAE0E35">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脂肪：采用GB 5009.6-2016第二法 酸水解法</w:t>
      </w:r>
    </w:p>
    <w:p w14:paraId="128FAA52">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碳水化合物含量＝100－蛋白质－脂肪－水分－灰分</w:t>
      </w:r>
    </w:p>
    <w:p w14:paraId="6FDD16DA">
      <w:pPr>
        <w:snapToGrid w:val="0"/>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胆固醇：采用GB 5009.128-2016第一法 气相色谱法</w:t>
      </w:r>
    </w:p>
    <w:p w14:paraId="1EB62CE0">
      <w:pPr>
        <w:snapToGrid w:val="0"/>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钠：采用 GB 5009.268-2016 第一法 电感耦合等离子体质谱法</w:t>
      </w:r>
    </w:p>
    <w:p w14:paraId="5EBB107D">
      <w:pPr>
        <w:snapToGrid w:val="0"/>
        <w:spacing w:line="560" w:lineRule="exact"/>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附录中营养成分表的指标均为实测验证数据。</w:t>
      </w:r>
    </w:p>
    <w:p w14:paraId="16BD9D04">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五、标准涉及的相关知识产权说明</w:t>
      </w:r>
    </w:p>
    <w:p w14:paraId="2691AE68">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无相关必要专利。</w:t>
      </w:r>
    </w:p>
    <w:p w14:paraId="50773925">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六、采用国际标准的程度和水平</w:t>
      </w:r>
    </w:p>
    <w:p w14:paraId="2B653631">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无其他应予说明的事项无相关国际标准。</w:t>
      </w:r>
    </w:p>
    <w:p w14:paraId="789DCFA4">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七、重大意见分歧的处理经过和依据</w:t>
      </w:r>
    </w:p>
    <w:p w14:paraId="4681A837">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无重大意见分歧。</w:t>
      </w:r>
    </w:p>
    <w:p w14:paraId="590CA91A">
      <w:pPr>
        <w:snapToGrid w:val="0"/>
        <w:spacing w:before="156" w:beforeLines="50" w:after="156" w:afterLines="50" w:line="560" w:lineRule="exact"/>
        <w:ind w:firstLine="602" w:firstLineChars="200"/>
        <w:rPr>
          <w:rFonts w:ascii="黑体" w:hAnsi="黑体" w:eastAsia="黑体" w:cs="仿宋"/>
          <w:b/>
          <w:kern w:val="0"/>
          <w:sz w:val="30"/>
          <w:szCs w:val="30"/>
        </w:rPr>
      </w:pPr>
      <w:r>
        <w:rPr>
          <w:rFonts w:hint="eastAsia" w:ascii="黑体" w:hAnsi="黑体" w:eastAsia="黑体" w:cs="仿宋"/>
          <w:b/>
          <w:kern w:val="0"/>
          <w:sz w:val="30"/>
          <w:szCs w:val="30"/>
        </w:rPr>
        <w:t>八、</w:t>
      </w:r>
      <w:bookmarkStart w:id="0" w:name="OLE_LINK1"/>
      <w:bookmarkStart w:id="1" w:name="OLE_LINK2"/>
      <w:r>
        <w:rPr>
          <w:rFonts w:hint="eastAsia" w:ascii="黑体" w:hAnsi="黑体" w:eastAsia="黑体" w:cs="仿宋"/>
          <w:b/>
          <w:kern w:val="0"/>
          <w:sz w:val="30"/>
          <w:szCs w:val="30"/>
        </w:rPr>
        <w:t>其他应予说明的事项</w:t>
      </w:r>
      <w:bookmarkEnd w:id="0"/>
      <w:bookmarkEnd w:id="1"/>
    </w:p>
    <w:p w14:paraId="733D8D57">
      <w:pPr>
        <w:snapToGrid w:val="0"/>
        <w:spacing w:line="560" w:lineRule="exact"/>
        <w:ind w:firstLine="600" w:firstLineChars="200"/>
        <w:rPr>
          <w:rFonts w:ascii="仿宋" w:hAnsi="仿宋" w:eastAsia="仿宋" w:cs="仿宋"/>
          <w:kern w:val="0"/>
          <w:sz w:val="30"/>
          <w:szCs w:val="30"/>
        </w:rPr>
      </w:pPr>
      <w:r>
        <w:rPr>
          <w:rFonts w:hint="eastAsia" w:ascii="仿宋" w:hAnsi="仿宋" w:eastAsia="仿宋" w:cs="仿宋"/>
          <w:kern w:val="0"/>
          <w:sz w:val="30"/>
          <w:szCs w:val="30"/>
        </w:rPr>
        <w:t>无其他应予说明的事项。</w:t>
      </w:r>
    </w:p>
    <w:p w14:paraId="54C5345F">
      <w:pPr>
        <w:snapToGrid w:val="0"/>
        <w:spacing w:line="560" w:lineRule="exact"/>
        <w:ind w:firstLine="600" w:firstLineChars="200"/>
        <w:rPr>
          <w:rFonts w:ascii="仿宋" w:hAnsi="仿宋" w:eastAsia="仿宋" w:cs="仿宋"/>
          <w:kern w:val="0"/>
          <w:sz w:val="30"/>
          <w:szCs w:val="30"/>
        </w:rPr>
      </w:pPr>
    </w:p>
    <w:p w14:paraId="25CE2F27">
      <w:pPr>
        <w:snapToGrid w:val="0"/>
        <w:spacing w:line="560" w:lineRule="exact"/>
        <w:ind w:right="300" w:firstLine="3260" w:firstLineChars="1087"/>
        <w:jc w:val="cente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color w:val="000000" w:themeColor="text1"/>
          <w:sz w:val="30"/>
          <w:szCs w:val="30"/>
          <w14:textFill>
            <w14:solidFill>
              <w14:schemeClr w14:val="tx1"/>
            </w14:solidFill>
          </w14:textFill>
        </w:rPr>
        <w:t>潮菜“湾区标准”工作组</w:t>
      </w:r>
    </w:p>
    <w:p w14:paraId="01A5F42D">
      <w:pPr>
        <w:snapToGrid w:val="0"/>
        <w:spacing w:line="560" w:lineRule="exact"/>
        <w:ind w:right="300" w:firstLine="3260" w:firstLineChars="1087"/>
        <w:jc w:val="center"/>
        <w:rPr>
          <w:rFonts w:ascii="仿宋" w:hAnsi="仿宋" w:eastAsia="仿宋" w:cs="仿宋"/>
          <w:color w:val="000000" w:themeColor="text1"/>
          <w:sz w:val="30"/>
          <w:szCs w:val="30"/>
          <w14:textFill>
            <w14:solidFill>
              <w14:schemeClr w14:val="tx1"/>
            </w14:solidFill>
          </w14:textFill>
        </w:rPr>
      </w:pPr>
      <w:r>
        <w:rPr>
          <w:rFonts w:hint="eastAsia" w:ascii="仿宋" w:hAnsi="仿宋" w:eastAsia="仿宋" w:cs="仿宋"/>
          <w:kern w:val="0"/>
          <w:sz w:val="30"/>
          <w:szCs w:val="30"/>
          <w:lang w:eastAsia="zh-CN"/>
        </w:rPr>
        <w:t>《</w:t>
      </w:r>
      <w:r>
        <w:rPr>
          <w:rFonts w:hint="eastAsia" w:ascii="仿宋" w:hAnsi="仿宋" w:eastAsia="仿宋" w:cs="仿宋"/>
          <w:kern w:val="0"/>
          <w:sz w:val="30"/>
          <w:szCs w:val="30"/>
          <w:lang w:val="en-US" w:eastAsia="zh-CN"/>
        </w:rPr>
        <w:t xml:space="preserve">潮式小食  </w:t>
      </w:r>
      <w:r>
        <w:rPr>
          <w:rFonts w:hint="eastAsia" w:ascii="仿宋" w:hAnsi="仿宋" w:eastAsia="仿宋" w:cs="仿宋"/>
          <w:kern w:val="0"/>
          <w:sz w:val="30"/>
          <w:szCs w:val="30"/>
        </w:rPr>
        <w:t>潮州春饼</w:t>
      </w:r>
      <w:r>
        <w:rPr>
          <w:rFonts w:hint="eastAsia" w:ascii="仿宋" w:hAnsi="仿宋" w:eastAsia="仿宋" w:cs="仿宋"/>
          <w:kern w:val="0"/>
          <w:sz w:val="30"/>
          <w:szCs w:val="30"/>
          <w:lang w:eastAsia="zh-CN"/>
        </w:rPr>
        <w:t>》</w:t>
      </w:r>
      <w:r>
        <w:rPr>
          <w:rFonts w:hint="eastAsia" w:ascii="仿宋" w:hAnsi="仿宋" w:eastAsia="仿宋" w:cs="仿宋"/>
          <w:color w:val="000000" w:themeColor="text1"/>
          <w:sz w:val="30"/>
          <w:szCs w:val="30"/>
          <w14:textFill>
            <w14:solidFill>
              <w14:schemeClr w14:val="tx1"/>
            </w14:solidFill>
          </w14:textFill>
        </w:rPr>
        <w:t>标准项目组</w:t>
      </w:r>
    </w:p>
    <w:p w14:paraId="5DAF143B">
      <w:pPr>
        <w:snapToGrid w:val="0"/>
        <w:spacing w:line="560" w:lineRule="exact"/>
        <w:ind w:right="300" w:firstLine="4500" w:firstLineChars="1500"/>
        <w:rPr>
          <w:rFonts w:ascii="Arial Unicode MS" w:hAnsi="仿宋" w:eastAsia="Arial Unicode MS" w:cs="仿宋"/>
          <w:sz w:val="44"/>
          <w:szCs w:val="44"/>
          <w:highlight w:val="none"/>
        </w:rPr>
      </w:pPr>
      <w:r>
        <w:rPr>
          <w:rFonts w:hint="eastAsia" w:ascii="仿宋" w:hAnsi="仿宋" w:eastAsia="仿宋" w:cs="仿宋"/>
          <w:sz w:val="30"/>
          <w:szCs w:val="30"/>
          <w:highlight w:val="none"/>
        </w:rPr>
        <w:t>202</w:t>
      </w:r>
      <w:r>
        <w:rPr>
          <w:rFonts w:hint="eastAsia" w:ascii="仿宋" w:hAnsi="仿宋" w:eastAsia="仿宋" w:cs="仿宋"/>
          <w:sz w:val="30"/>
          <w:szCs w:val="30"/>
          <w:highlight w:val="none"/>
          <w:lang w:eastAsia="zh-CN"/>
        </w:rPr>
        <w:t>4</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val="en-US" w:eastAsia="zh-CN"/>
        </w:rPr>
        <w:t>10</w:t>
      </w:r>
      <w:r>
        <w:rPr>
          <w:rFonts w:hint="eastAsia" w:ascii="仿宋" w:hAnsi="仿宋" w:eastAsia="仿宋" w:cs="仿宋"/>
          <w:sz w:val="30"/>
          <w:szCs w:val="30"/>
          <w:highlight w:val="none"/>
        </w:rPr>
        <w:t>月</w:t>
      </w:r>
      <w:r>
        <w:rPr>
          <w:rFonts w:hint="eastAsia" w:ascii="仿宋" w:hAnsi="仿宋" w:eastAsia="仿宋" w:cs="仿宋"/>
          <w:sz w:val="30"/>
          <w:szCs w:val="30"/>
          <w:highlight w:val="none"/>
          <w:lang w:val="en-US" w:eastAsia="zh-CN"/>
        </w:rPr>
        <w:t>11</w:t>
      </w:r>
      <w:r>
        <w:rPr>
          <w:rFonts w:hint="eastAsia" w:ascii="仿宋" w:hAnsi="仿宋" w:eastAsia="仿宋" w:cs="仿宋"/>
          <w:sz w:val="30"/>
          <w:szCs w:val="30"/>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FB719D5-E798-42F5-8071-CC17FA3798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1B07105-9C9D-41C7-976C-42939A06656E}"/>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3" w:fontKey="{0A873562-C69B-4C5A-8D18-E1BC8E4E6AC5}"/>
  </w:font>
  <w:font w:name="楷体">
    <w:panose1 w:val="02010609060101010101"/>
    <w:charset w:val="86"/>
    <w:family w:val="modern"/>
    <w:pitch w:val="default"/>
    <w:sig w:usb0="800002BF" w:usb1="38CF7CFA" w:usb2="00000016" w:usb3="00000000" w:csb0="00040001" w:csb1="00000000"/>
    <w:embedRegular r:id="rId4" w:fontKey="{935CA44A-F1C8-45C7-BEAB-05A483D3B4D5}"/>
  </w:font>
  <w:font w:name="Arial Unicode MS">
    <w:panose1 w:val="020B0604020202020204"/>
    <w:charset w:val="86"/>
    <w:family w:val="auto"/>
    <w:pitch w:val="default"/>
    <w:sig w:usb0="FFFFFFFF" w:usb1="E9FFFFFF" w:usb2="0000003F" w:usb3="00000000" w:csb0="603F01FF" w:csb1="FFFF0000"/>
    <w:embedRegular r:id="rId5" w:fontKey="{8D775E26-B763-47C1-8CE2-4708FF865EBC}"/>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ADE0F4"/>
    <w:multiLevelType w:val="singleLevel"/>
    <w:tmpl w:val="CBADE0F4"/>
    <w:lvl w:ilvl="0" w:tentative="0">
      <w:start w:val="1"/>
      <w:numFmt w:val="chineseCounting"/>
      <w:suff w:val="nothing"/>
      <w:lvlText w:val="（%1）"/>
      <w:lvlJc w:val="left"/>
      <w:rPr>
        <w:rFonts w:hint="eastAsia"/>
      </w:rPr>
    </w:lvl>
  </w:abstractNum>
  <w:abstractNum w:abstractNumId="1">
    <w:nsid w:val="CBE34F4B"/>
    <w:multiLevelType w:val="singleLevel"/>
    <w:tmpl w:val="CBE34F4B"/>
    <w:lvl w:ilvl="0" w:tentative="0">
      <w:start w:val="1"/>
      <w:numFmt w:val="decimal"/>
      <w:lvlText w:val="(%1)"/>
      <w:lvlJc w:val="left"/>
      <w:pPr>
        <w:ind w:left="425" w:hanging="425"/>
      </w:pPr>
      <w:rPr>
        <w:rFonts w:hint="default"/>
      </w:r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pStyle w:val="10"/>
      <w:suff w:val="nothing"/>
      <w:lvlText w:val="%1.%2.%3　"/>
      <w:lvlJc w:val="left"/>
      <w:pPr>
        <w:ind w:left="141" w:firstLine="0"/>
      </w:pPr>
      <w:rPr>
        <w:rFonts w:hint="eastAsia" w:ascii="黑体" w:hAnsi="黑体" w:eastAsia="黑体"/>
        <w:b w:val="0"/>
        <w:i w:val="0"/>
        <w:sz w:val="21"/>
        <w:szCs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4"/>
      <w:suff w:val="nothing"/>
      <w:lvlText w:val="%1%2.%3.%4　"/>
      <w:lvlJc w:val="left"/>
      <w:pPr>
        <w:ind w:left="0" w:firstLine="0"/>
      </w:pPr>
      <w:rPr>
        <w:rFonts w:hint="eastAsia" w:ascii="黑体" w:eastAsia="黑体"/>
        <w:b w:val="0"/>
        <w:i w:val="0"/>
        <w:sz w:val="21"/>
      </w:rPr>
    </w:lvl>
    <w:lvl w:ilvl="4" w:tentative="0">
      <w:start w:val="1"/>
      <w:numFmt w:val="decimal"/>
      <w:pStyle w:val="13"/>
      <w:suff w:val="nothing"/>
      <w:lvlText w:val="%1%2.%3.%4.%5　"/>
      <w:lvlJc w:val="left"/>
      <w:pPr>
        <w:ind w:left="567"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70F28A08"/>
    <w:multiLevelType w:val="singleLevel"/>
    <w:tmpl w:val="70F28A08"/>
    <w:lvl w:ilvl="0" w:tentative="0">
      <w:start w:val="1"/>
      <w:numFmt w:val="chineseCounting"/>
      <w:suff w:val="nothing"/>
      <w:lvlText w:val="%1、"/>
      <w:lvlJc w:val="left"/>
      <w:rPr>
        <w:rFonts w:hint="eastAsia"/>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0YTRiN2YzZWQ5YWNkZWIxMGFjYmYyZTFmY2VlMWMifQ=="/>
  </w:docVars>
  <w:rsids>
    <w:rsidRoot w:val="0C9E1267"/>
    <w:rsid w:val="000B54DA"/>
    <w:rsid w:val="00176A2F"/>
    <w:rsid w:val="002B6C4B"/>
    <w:rsid w:val="003B6362"/>
    <w:rsid w:val="004A2275"/>
    <w:rsid w:val="004D5CDF"/>
    <w:rsid w:val="004F36A3"/>
    <w:rsid w:val="005505DB"/>
    <w:rsid w:val="005D30E2"/>
    <w:rsid w:val="00766396"/>
    <w:rsid w:val="007F0C1C"/>
    <w:rsid w:val="00854C1D"/>
    <w:rsid w:val="00865786"/>
    <w:rsid w:val="0089021C"/>
    <w:rsid w:val="00937809"/>
    <w:rsid w:val="00BC15EE"/>
    <w:rsid w:val="00BC2A99"/>
    <w:rsid w:val="00D0130B"/>
    <w:rsid w:val="00DE26D5"/>
    <w:rsid w:val="00EA138E"/>
    <w:rsid w:val="00FA0057"/>
    <w:rsid w:val="00FA0B68"/>
    <w:rsid w:val="014D1F33"/>
    <w:rsid w:val="02A37BDD"/>
    <w:rsid w:val="02ED5C69"/>
    <w:rsid w:val="04A66578"/>
    <w:rsid w:val="0696695D"/>
    <w:rsid w:val="072D659E"/>
    <w:rsid w:val="0A4608DA"/>
    <w:rsid w:val="0B555E0A"/>
    <w:rsid w:val="0C9E1267"/>
    <w:rsid w:val="14751DE3"/>
    <w:rsid w:val="14F127D2"/>
    <w:rsid w:val="166A5B42"/>
    <w:rsid w:val="18341EE7"/>
    <w:rsid w:val="195E1E53"/>
    <w:rsid w:val="1A75213E"/>
    <w:rsid w:val="1AAE7662"/>
    <w:rsid w:val="222473FE"/>
    <w:rsid w:val="22530DF1"/>
    <w:rsid w:val="27CE17BE"/>
    <w:rsid w:val="29A75DE9"/>
    <w:rsid w:val="2ACF7D27"/>
    <w:rsid w:val="2D4A1B5E"/>
    <w:rsid w:val="2EB8596B"/>
    <w:rsid w:val="362706E4"/>
    <w:rsid w:val="3683555E"/>
    <w:rsid w:val="37BE5A6B"/>
    <w:rsid w:val="39577CB8"/>
    <w:rsid w:val="3BF05537"/>
    <w:rsid w:val="3D28254A"/>
    <w:rsid w:val="3D8A63A1"/>
    <w:rsid w:val="3EC66625"/>
    <w:rsid w:val="3F837B89"/>
    <w:rsid w:val="3FC45529"/>
    <w:rsid w:val="40F873C9"/>
    <w:rsid w:val="40FB1E0B"/>
    <w:rsid w:val="41A339E2"/>
    <w:rsid w:val="41FF2584"/>
    <w:rsid w:val="48B64D0D"/>
    <w:rsid w:val="4AC24E95"/>
    <w:rsid w:val="4CB2634B"/>
    <w:rsid w:val="4CEA2347"/>
    <w:rsid w:val="4D4D7C5B"/>
    <w:rsid w:val="4EB62C0E"/>
    <w:rsid w:val="52426781"/>
    <w:rsid w:val="540377A4"/>
    <w:rsid w:val="5C677510"/>
    <w:rsid w:val="5E1E0F9C"/>
    <w:rsid w:val="5E4F1F92"/>
    <w:rsid w:val="60E87B88"/>
    <w:rsid w:val="60E94998"/>
    <w:rsid w:val="626F2D4C"/>
    <w:rsid w:val="63F47119"/>
    <w:rsid w:val="64817883"/>
    <w:rsid w:val="64AA05C2"/>
    <w:rsid w:val="65A92947"/>
    <w:rsid w:val="663C74B6"/>
    <w:rsid w:val="66C832A1"/>
    <w:rsid w:val="675550B1"/>
    <w:rsid w:val="6A303637"/>
    <w:rsid w:val="6CAE4CE7"/>
    <w:rsid w:val="6F9723D9"/>
    <w:rsid w:val="6FA94835"/>
    <w:rsid w:val="706A7177"/>
    <w:rsid w:val="7771323A"/>
    <w:rsid w:val="792D1A30"/>
    <w:rsid w:val="7A8D23E0"/>
    <w:rsid w:val="7D7D673C"/>
    <w:rsid w:val="7F104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rPr>
      <w:rFonts w:ascii="Times New Roman" w:hAnsi="Times New Roman" w:cs="Times New Roman"/>
    </w:rPr>
  </w:style>
  <w:style w:type="paragraph" w:styleId="3">
    <w:name w:val="header"/>
    <w:basedOn w:val="1"/>
    <w:qFormat/>
    <w:uiPriority w:val="0"/>
    <w:pPr>
      <w:pBdr>
        <w:bottom w:val="single" w:color="auto" w:sz="6" w:space="1"/>
      </w:pBdr>
      <w:tabs>
        <w:tab w:val="center" w:pos="4153"/>
        <w:tab w:val="right" w:pos="8306"/>
      </w:tabs>
      <w:snapToGrid w:val="0"/>
      <w:jc w:val="center"/>
    </w:pPr>
    <w:rPr>
      <w:kern w:val="0"/>
      <w:sz w:val="18"/>
      <w:szCs w:val="20"/>
    </w:rPr>
  </w:style>
  <w:style w:type="paragraph" w:styleId="4">
    <w:name w:val="Body Text First Indent 2"/>
    <w:basedOn w:val="2"/>
    <w:qFormat/>
    <w:uiPriority w:val="0"/>
    <w:pPr>
      <w:ind w:firstLine="420" w:firstLineChars="200"/>
    </w:pPr>
    <w:rPr>
      <w:rFonts w:ascii="Calibri" w:hAnsi="Calibri" w:eastAsia="宋体"/>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目次、标准名称标题"/>
    <w:basedOn w:val="1"/>
    <w:next w:val="9"/>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10">
    <w:name w:val="二级条标题"/>
    <w:basedOn w:val="1"/>
    <w:next w:val="1"/>
    <w:qFormat/>
    <w:uiPriority w:val="0"/>
    <w:pPr>
      <w:widowControl/>
      <w:numPr>
        <w:ilvl w:val="2"/>
        <w:numId w:val="1"/>
      </w:numPr>
      <w:spacing w:beforeLines="50" w:afterLines="50"/>
      <w:jc w:val="left"/>
      <w:outlineLvl w:val="3"/>
    </w:pPr>
    <w:rPr>
      <w:rFonts w:ascii="黑体" w:hAnsi="Times New Roman" w:eastAsia="黑体"/>
      <w:kern w:val="0"/>
      <w:szCs w:val="21"/>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标准文件_三级无标题"/>
    <w:basedOn w:val="13"/>
    <w:qFormat/>
    <w:uiPriority w:val="0"/>
    <w:pPr>
      <w:spacing w:before="0" w:beforeLines="0" w:after="0" w:afterLines="0"/>
      <w:outlineLvl w:val="9"/>
    </w:pPr>
    <w:rPr>
      <w:rFonts w:ascii="宋体" w:eastAsia="宋体"/>
    </w:rPr>
  </w:style>
  <w:style w:type="paragraph" w:customStyle="1" w:styleId="13">
    <w:name w:val="标准文件_三级条标题"/>
    <w:basedOn w:val="14"/>
    <w:next w:val="15"/>
    <w:qFormat/>
    <w:uiPriority w:val="0"/>
    <w:pPr>
      <w:widowControl/>
      <w:numPr>
        <w:ilvl w:val="4"/>
      </w:numPr>
      <w:outlineLvl w:val="3"/>
    </w:pPr>
  </w:style>
  <w:style w:type="paragraph" w:customStyle="1" w:styleId="14">
    <w:name w:val="标准文件_二级条标题"/>
    <w:next w:val="15"/>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5">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4571</Words>
  <Characters>4801</Characters>
  <Lines>22</Lines>
  <Paragraphs>6</Paragraphs>
  <TotalTime>8</TotalTime>
  <ScaleCrop>false</ScaleCrop>
  <LinksUpToDate>false</LinksUpToDate>
  <CharactersWithSpaces>4870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2023-07-19T02:36:00Z</dcterms:created>
  <dc:creator>郑泽锋</dc:creator>
  <cp:lastModifiedBy>♚*憧</cp:lastModifiedBy>
  <dcterms:modified xsi:type="dcterms:W3CDTF">2024-10-11T15:16:41Z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B69882A8C7404E5F98FC1D446DDAE3B4_13</vt:lpwstr>
  </property>
</Properties>
</file>